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24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spacing w:lineRule="atLeast" w:line="240"/>
        <w:jc w:val="center"/>
        <w:rPr>
          <w:rFonts w:ascii="Times New Roman" w:hAnsi="Times New Roman" w:cs="Times New Roman"/>
          <w:b/>
          <w:b/>
          <w:bCs/>
          <w:sz w:val="28"/>
          <w:szCs w:val="28"/>
        </w:rPr>
      </w:pPr>
      <w:r>
        <w:rPr>
          <w:rFonts w:cs="Times New Roman" w:ascii="Times New Roman" w:hAnsi="Times New Roman"/>
          <w:b/>
          <w:bCs/>
          <w:sz w:val="28"/>
          <w:szCs w:val="28"/>
        </w:rPr>
        <w:t>АДМИНИСТРАЦИЯ ТАТАРСКО-ТАВЛИНСКОГО СЕЛЬСКОГО ПОСЕЛЕНИЯ ЛЯМБИРСКОГО МУНИЦИПАЛЬНОГО РАЙОНА РЕСПУБЛИКИ МОРДОВИЯ</w:t>
      </w:r>
    </w:p>
    <w:p>
      <w:pPr>
        <w:pStyle w:val="Normal"/>
        <w:spacing w:lineRule="atLeast" w:line="240"/>
        <w:jc w:val="center"/>
        <w:rPr>
          <w:rFonts w:ascii="Times New Roman" w:hAnsi="Times New Roman" w:cs="Times New Roman"/>
          <w:b/>
          <w:b/>
          <w:bCs/>
          <w:sz w:val="2"/>
          <w:szCs w:val="2"/>
        </w:rPr>
      </w:pPr>
      <w:r>
        <w:rPr>
          <w:rFonts w:cs="Times New Roman" w:ascii="Times New Roman" w:hAnsi="Times New Roman"/>
          <w:b/>
          <w:bCs/>
          <w:sz w:val="2"/>
          <w:szCs w:val="2"/>
        </w:rPr>
      </w:r>
    </w:p>
    <w:p>
      <w:pPr>
        <w:pStyle w:val="Normal"/>
        <w:spacing w:lineRule="atLeast" w:line="240"/>
        <w:jc w:val="center"/>
        <w:rPr/>
      </w:pPr>
      <w:r>
        <w:rPr>
          <w:rFonts w:cs="Times New Roman" w:ascii="Times New Roman" w:hAnsi="Times New Roman"/>
          <w:b/>
          <w:bCs/>
          <w:sz w:val="30"/>
          <w:szCs w:val="30"/>
        </w:rPr>
        <w:t>П О С Т А Н О В Л Е Н И Е</w:t>
      </w:r>
    </w:p>
    <w:p>
      <w:pPr>
        <w:pStyle w:val="Normal"/>
        <w:spacing w:lineRule="atLeast" w:line="240"/>
        <w:jc w:val="center"/>
        <w:rPr>
          <w:rFonts w:ascii="Times New Roman" w:hAnsi="Times New Roman" w:cs="Times New Roman"/>
          <w:b/>
          <w:b/>
          <w:bCs/>
          <w:sz w:val="30"/>
          <w:szCs w:val="30"/>
        </w:rPr>
      </w:pPr>
      <w:r>
        <w:rPr>
          <w:rFonts w:cs="Times New Roman" w:ascii="Times New Roman" w:hAnsi="Times New Roman"/>
          <w:b/>
          <w:bCs/>
          <w:sz w:val="30"/>
          <w:szCs w:val="30"/>
        </w:rPr>
      </w:r>
    </w:p>
    <w:p>
      <w:pPr>
        <w:pStyle w:val="Normal"/>
        <w:spacing w:lineRule="atLeast" w:line="240"/>
        <w:jc w:val="both"/>
        <w:rPr/>
      </w:pPr>
      <w:r>
        <w:rPr>
          <w:rFonts w:cs="Times New Roman" w:ascii="Times New Roman" w:hAnsi="Times New Roman"/>
          <w:sz w:val="26"/>
          <w:szCs w:val="26"/>
        </w:rPr>
        <w:t xml:space="preserve">    </w:t>
      </w:r>
      <w:r>
        <w:rPr>
          <w:rFonts w:cs="Times New Roman" w:ascii="Times New Roman" w:hAnsi="Times New Roman"/>
          <w:sz w:val="26"/>
          <w:szCs w:val="26"/>
        </w:rPr>
        <w:t xml:space="preserve">2 марта 2020 года                                                                                                              № 6                                                                                                                                                     </w:t>
      </w:r>
    </w:p>
    <w:p>
      <w:pPr>
        <w:pStyle w:val="Normal"/>
        <w:spacing w:lineRule="atLeast" w:line="240"/>
        <w:jc w:val="center"/>
        <w:rPr>
          <w:rFonts w:ascii="Times New Roman" w:hAnsi="Times New Roman" w:cs="Times New Roman"/>
          <w:sz w:val="20"/>
          <w:szCs w:val="20"/>
        </w:rPr>
      </w:pPr>
      <w:r>
        <w:rPr>
          <w:rFonts w:cs="Times New Roman" w:ascii="Times New Roman" w:hAnsi="Times New Roman"/>
          <w:sz w:val="20"/>
          <w:szCs w:val="20"/>
        </w:rPr>
        <w:t>с. Татарская Тавла</w:t>
      </w:r>
    </w:p>
    <w:p>
      <w:pPr>
        <w:pStyle w:val="Normal"/>
        <w:jc w:val="center"/>
        <w:rPr>
          <w:rFonts w:ascii="Times New Roman" w:hAnsi="Times New Roman" w:cs="Times New Roman"/>
          <w:b/>
          <w:b/>
          <w:bCs/>
          <w:sz w:val="26"/>
          <w:szCs w:val="26"/>
        </w:rPr>
      </w:pPr>
      <w:r>
        <w:rPr>
          <w:rFonts w:cs="Times New Roman" w:ascii="Times New Roman" w:hAnsi="Times New Roman"/>
          <w:b/>
          <w:bCs/>
          <w:sz w:val="26"/>
          <w:szCs w:val="26"/>
        </w:rPr>
        <w:t>О мерах по реализации решения Совета депутатов Татарско-Тавлинского сельского поселения  от 26 декабря 2019 г. № 86 «О бюджете Татарско-Тавлинского сельского поселения на 2020 год и плановый период 2021 и 2022 годов »</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 xml:space="preserve">В целях реализации решения Совета депутатов Татарско-Тавлинского сельского поселения Лямбирского муниципального района от 26 декабря 2019 г. № 86 «О бюджете Татарско-Тавлинского сельского поселения на </w:t>
      </w:r>
      <w:bookmarkStart w:id="0" w:name="__DdeLink__1276_2166392654"/>
      <w:r>
        <w:rPr>
          <w:rFonts w:cs="Times New Roman" w:ascii="Times New Roman" w:hAnsi="Times New Roman"/>
          <w:sz w:val="26"/>
          <w:szCs w:val="26"/>
        </w:rPr>
        <w:t>2020 год  и на плановый период 2021 и 2022 годов</w:t>
      </w:r>
      <w:bookmarkEnd w:id="0"/>
      <w:r>
        <w:rPr>
          <w:rFonts w:cs="Times New Roman" w:ascii="Times New Roman" w:hAnsi="Times New Roman"/>
          <w:sz w:val="26"/>
          <w:szCs w:val="26"/>
        </w:rPr>
        <w:t>», руководствуясь  Уставом  Татарско-Тавлинского сельского поселения , администрация сельского поселения  постановляет:</w:t>
      </w:r>
    </w:p>
    <w:p>
      <w:pPr>
        <w:pStyle w:val="Normal"/>
        <w:spacing w:lineRule="auto" w:line="240" w:before="0" w:after="0"/>
        <w:ind w:left="0" w:right="0" w:firstLine="720"/>
        <w:jc w:val="both"/>
        <w:rPr/>
      </w:pPr>
      <w:r>
        <w:rPr>
          <w:rFonts w:cs="Times New Roman" w:ascii="Times New Roman" w:hAnsi="Times New Roman"/>
          <w:sz w:val="26"/>
          <w:szCs w:val="26"/>
        </w:rPr>
        <w:t xml:space="preserve">1. Администрации Татарско-Тавлинского сельского поселения </w:t>
      </w:r>
      <w:bookmarkStart w:id="1" w:name="sub_1"/>
      <w:bookmarkEnd w:id="1"/>
      <w:r>
        <w:rPr>
          <w:rFonts w:cs="Times New Roman" w:ascii="Times New Roman" w:hAnsi="Times New Roman"/>
          <w:sz w:val="26"/>
          <w:szCs w:val="26"/>
        </w:rPr>
        <w:t>:</w:t>
      </w:r>
    </w:p>
    <w:p>
      <w:pPr>
        <w:pStyle w:val="Normal"/>
        <w:spacing w:lineRule="auto" w:line="240" w:before="0" w:after="0"/>
        <w:ind w:left="0" w:right="0" w:firstLine="720"/>
        <w:jc w:val="both"/>
        <w:rPr/>
      </w:pPr>
      <w:r>
        <w:rPr>
          <w:rFonts w:cs="Times New Roman" w:ascii="Times New Roman" w:hAnsi="Times New Roman"/>
          <w:sz w:val="26"/>
          <w:szCs w:val="26"/>
        </w:rPr>
        <w:t xml:space="preserve">обеспечить качественное исполнение бюджета Татарско-Тавлинского сельского поселения  на 2020 год  и на плановый период 2021 и 2022 годов   (далее - бюджет Татарско-Тавлинского сельского поселения ) и реализацию </w:t>
      </w:r>
      <w:hyperlink r:id="rId2">
        <w:r>
          <w:rPr>
            <w:rStyle w:val="Style12"/>
            <w:rFonts w:cs="Times New Roman" w:ascii="Times New Roman" w:hAnsi="Times New Roman"/>
            <w:color w:val="auto"/>
            <w:sz w:val="26"/>
            <w:szCs w:val="26"/>
            <w:u w:val="none"/>
          </w:rPr>
          <w:t>основных направлений</w:t>
        </w:r>
      </w:hyperlink>
      <w:r>
        <w:rPr>
          <w:rFonts w:cs="Times New Roman" w:ascii="Times New Roman" w:hAnsi="Times New Roman"/>
          <w:sz w:val="26"/>
          <w:szCs w:val="26"/>
        </w:rPr>
        <w:t xml:space="preserve"> бюджетной и налоговой политики Татарско-Тавлинского сельского поселения  на 2020 год  и на плановый период 2021 и 2022 годов  , утвержденных </w:t>
      </w:r>
      <w:hyperlink r:id="rId3">
        <w:r>
          <w:rPr>
            <w:rStyle w:val="Style12"/>
            <w:rFonts w:cs="Times New Roman" w:ascii="Times New Roman" w:hAnsi="Times New Roman"/>
            <w:color w:val="auto"/>
            <w:sz w:val="26"/>
            <w:szCs w:val="26"/>
            <w:u w:val="none"/>
          </w:rPr>
          <w:t>решением</w:t>
        </w:r>
      </w:hyperlink>
      <w:r>
        <w:rPr>
          <w:rFonts w:cs="Times New Roman" w:ascii="Times New Roman" w:hAnsi="Times New Roman"/>
          <w:sz w:val="26"/>
          <w:szCs w:val="26"/>
        </w:rPr>
        <w:t xml:space="preserve"> Совета депутатов Татарско-Тавлинского сельского поселения Лямбирского муниципального района от 27 июня 2016 г. № 152;</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осуществлять мониторинг финансового обеспечения социально значимых и первоочередных расходов бюджета Татарско-Тавлинского сельского поселения Лямбирского муниципального района, гарантирующих реализацию возложенных на органы местного самоуправления Татарско-Тавлинского сельского поселения Лямбирского муниципального района полномочий;</w:t>
      </w:r>
    </w:p>
    <w:p>
      <w:pPr>
        <w:pStyle w:val="Normal"/>
        <w:spacing w:lineRule="atLeast" w:line="240" w:before="0" w:after="0"/>
        <w:jc w:val="both"/>
        <w:rPr>
          <w:rFonts w:ascii="Times New Roman" w:hAnsi="Times New Roman" w:cs="Times New Roman"/>
          <w:sz w:val="26"/>
          <w:szCs w:val="26"/>
        </w:rPr>
      </w:pPr>
      <w:r>
        <w:rPr>
          <w:rFonts w:cs="Times New Roman" w:ascii="Times New Roman" w:hAnsi="Times New Roman"/>
          <w:sz w:val="26"/>
          <w:szCs w:val="26"/>
        </w:rPr>
        <w:t xml:space="preserve">  </w:t>
      </w:r>
      <w:r>
        <w:rPr>
          <w:rFonts w:cs="Times New Roman" w:ascii="Times New Roman" w:hAnsi="Times New Roman"/>
          <w:sz w:val="26"/>
          <w:szCs w:val="26"/>
        </w:rPr>
        <w:t xml:space="preserve">обеспечить достижение показателей Программы оздоровления муниципальных финансов Татарско-Тавлинского сельского поселения Лямбирского муниципального района  на 2018-2020 годы (план мероприятий по оздоровлению муниципальных финансов Лямбирского муниципального района). </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обеспечить реализацию приоритетных направлений государственной политики, определенных Указом Президента Российской Федерации от 7 мая 2018 г. «О национальных целях и стратегических задачах развития Российской Федерации на период 2024 года»,  также указами Президента Российской Федерации от 7 мая 2012 г.,в том числе повышение заработной платы работников бюджетной сферы;</w:t>
      </w:r>
    </w:p>
    <w:p>
      <w:pPr>
        <w:pStyle w:val="Normal"/>
        <w:spacing w:lineRule="atLeast"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ответственным исполнителям муниципальных программ Татарско-Тавлинского сельского поселения Лямбирского муниципального района в рамках исполнения бюджета Татарско-Тавлинского сельского поселения Лямбирского муниципального района обеспечить достижение в 2020 году  и в плановом периоде 2021 и 2022 годах утвержденных показателей (индикаторов) соответствующих муниципальных программ Татарско-Тавлинского сельского поселения Лямбирского муниципального района.</w:t>
      </w:r>
    </w:p>
    <w:p>
      <w:pPr>
        <w:pStyle w:val="Normal"/>
        <w:spacing w:lineRule="auto" w:line="240" w:before="0" w:after="0"/>
        <w:ind w:left="0" w:right="0" w:firstLine="720"/>
        <w:jc w:val="both"/>
        <w:rPr/>
      </w:pPr>
      <w:r>
        <w:rPr>
          <w:rFonts w:cs="Times New Roman" w:ascii="Times New Roman" w:hAnsi="Times New Roman"/>
          <w:sz w:val="26"/>
          <w:szCs w:val="26"/>
        </w:rPr>
        <w:t xml:space="preserve">2. Главным администраторам доходов бюджета Татарско-Тавлинского сельского поселения </w:t>
      </w:r>
      <w:bookmarkStart w:id="2" w:name="sub_2"/>
      <w:bookmarkEnd w:id="2"/>
      <w:r>
        <w:rPr>
          <w:rFonts w:cs="Times New Roman" w:ascii="Times New Roman" w:hAnsi="Times New Roman"/>
          <w:sz w:val="26"/>
          <w:szCs w:val="26"/>
        </w:rPr>
        <w:t>Лямбирского муниципального района:</w:t>
      </w:r>
    </w:p>
    <w:p>
      <w:pPr>
        <w:pStyle w:val="Normal"/>
        <w:spacing w:lineRule="auto" w:line="240" w:before="0" w:after="0"/>
        <w:ind w:left="0" w:right="0" w:firstLine="720"/>
        <w:jc w:val="both"/>
        <w:rPr/>
      </w:pPr>
      <w:r>
        <w:rPr>
          <w:rFonts w:cs="Times New Roman" w:ascii="Times New Roman" w:hAnsi="Times New Roman"/>
          <w:sz w:val="26"/>
          <w:szCs w:val="26"/>
        </w:rPr>
        <w:t>1) принять меры по обеспечению поступления налогов, сборов и других обязательных платежей в бюджет Татарско-Тавлинского сельского поселения Лямбирского муниципального района, а также по сокращению задолженности по их уплате и осуществлению мероприятий, препятствующих ее возникновению;</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2)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Татарско-Тавлинского сельского поселения Лямбирского муниципального района, пеней и штрафов;</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3) представлять в Финансовое управление Администрации Лямбирского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Татарско-Тавлинского сельского поселения Лямбирского муниципального района по доходам от прогноза.</w:t>
      </w:r>
    </w:p>
    <w:p>
      <w:pPr>
        <w:pStyle w:val="Normal"/>
        <w:spacing w:lineRule="auto" w:line="240" w:before="0" w:after="0"/>
        <w:ind w:left="0" w:right="0" w:firstLine="720"/>
        <w:jc w:val="both"/>
        <w:rPr/>
      </w:pPr>
      <w:r>
        <w:rPr>
          <w:rFonts w:cs="Times New Roman" w:ascii="Times New Roman" w:hAnsi="Times New Roman"/>
          <w:sz w:val="26"/>
          <w:szCs w:val="26"/>
        </w:rPr>
        <w:t xml:space="preserve">3. Главным распорядителям средств бюджета Татарско-Тавлинского сельского поселения </w:t>
      </w:r>
      <w:bookmarkStart w:id="3" w:name="sub_3"/>
      <w:bookmarkEnd w:id="3"/>
      <w:r>
        <w:rPr>
          <w:rFonts w:cs="Times New Roman" w:ascii="Times New Roman" w:hAnsi="Times New Roman"/>
          <w:sz w:val="26"/>
          <w:szCs w:val="26"/>
        </w:rPr>
        <w:t>Лямбирского муниципального района обеспечить:</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1) в пределах утвержденных им лимитов бюджетных обязательств распределение и доведение до подведомственных получателей средств бюджета Татарско-Тавлинского сельского поселения Лямбирского муниципального района лимитов бюджетных обязательств в полном объеме:</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на осуществление закупок товаров, работ и услуг - не позднее 30 рабочих дней со дня вступления в силу решения Совета депутатов Татарско-Тавлинского сельского поселения Лямбирского муниципального района от 26 декабря 2019 г. № 86 «О бюджете Татарско-Тавлинского сельского поселения Лямбирского муниципального района на 2020 год  и на плановый период 2021 и 2022 годов  » (далее - решение о бюджете) или решения Совета депутатов Татарско-Тавлинского сельского поселения Лямбирского муниципального района о внесении изменений в решение о бюджете;</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на осуществление бюджетных инвестиций и на предоставление субсидий на осуществление капитальных вложений в объекты капитального строительства муниципальной собственности Татарско-Тавлинского сельского поселения Лямбирского муниципального района - не позднее 40 рабочих дней со дня вступления в силу решения о бюджете или решения Совета депутатов Татарско-Тавлинского сельского поселения Лямбирского муниципального района о внесении изменений в решение о бюджете;</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2) контроль за принятием, учетом и исполнением бюджетных обязательств и соблюдением установленных лимитов подведомственными получателями средств бюджета Татарско-Тавлинского сельского поселения Лямбирского муниципального района.</w:t>
      </w:r>
    </w:p>
    <w:p>
      <w:pPr>
        <w:pStyle w:val="Normal"/>
        <w:spacing w:lineRule="auto" w:line="240" w:before="0" w:after="0"/>
        <w:ind w:left="0" w:right="0" w:firstLine="720"/>
        <w:jc w:val="both"/>
        <w:rPr>
          <w:rFonts w:ascii="Times New Roman" w:hAnsi="Times New Roman" w:cs="Times New Roman"/>
          <w:sz w:val="26"/>
          <w:szCs w:val="26"/>
        </w:rPr>
      </w:pPr>
      <w:bookmarkStart w:id="4" w:name="sub_4"/>
      <w:bookmarkEnd w:id="4"/>
      <w:r>
        <w:rPr>
          <w:rFonts w:cs="Times New Roman" w:ascii="Times New Roman" w:hAnsi="Times New Roman"/>
          <w:sz w:val="26"/>
          <w:szCs w:val="26"/>
        </w:rPr>
        <w:t>4. Предложить муниципальным бюджетным и автономным учреждениям Татарско-Тавлинского сельского поселения Лямбирского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30 процентов – на  оплату труда, включая начисления по оплате труда, и на выплаты стимулирующего характера, не менее 30 процентов – на оплату коммунальных услуг и не менее 40 процентов – на иные первоочередные нужды, связанные с достижением целей деятельности муниципальных учреждений Татарско-Тавлинского сельского поселения Лямбирского муниципального района, определенными уставами.</w:t>
      </w:r>
    </w:p>
    <w:p>
      <w:pPr>
        <w:pStyle w:val="Normal"/>
        <w:spacing w:lineRule="auto" w:line="240" w:before="0" w:after="0"/>
        <w:ind w:left="0" w:right="0" w:firstLine="720"/>
        <w:jc w:val="both"/>
        <w:rPr/>
      </w:pPr>
      <w:r>
        <w:rPr>
          <w:rFonts w:cs="Times New Roman" w:ascii="Times New Roman" w:hAnsi="Times New Roman"/>
          <w:sz w:val="26"/>
          <w:szCs w:val="26"/>
        </w:rPr>
        <w:t>5. Установить, что инициативы и предложения органов местного самоуправления Татарско-Тавлинского сельского поселения Лямбирского муниципального района о выделении бюджетных ассигнований на принятие новых расходных обязательств или увеличении бюджетных ассигнований на исполнение действующих расходных обязательств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Татарско-Тавлинского сельского поселения Лямбирского муниципального района и (или) при сокращении бюджетных ассигнований по отдельным статьям расходов бюджета Лямбирского муниципального района.</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 xml:space="preserve">Инициативы и предложения о выделении бюджетных ассигнований на принятие новых расходных обязательств Лямбирского муниципального района, не обеспеченных реальными доходными источниками и не связанных с решением вопросов, отнесенных Конституцией Российской Федерации и федеральными законами к полномочиям органов местного самоуправления Татарско-Тавлинского сельского поселения Лямбирского муниципального района рассматриваться не будут. </w:t>
      </w:r>
    </w:p>
    <w:p>
      <w:pPr>
        <w:pStyle w:val="Normal"/>
        <w:spacing w:lineRule="auto" w:line="240" w:before="0" w:after="0"/>
        <w:ind w:left="0" w:right="0" w:firstLine="720"/>
        <w:jc w:val="both"/>
        <w:rPr>
          <w:rFonts w:ascii="Times New Roman" w:hAnsi="Times New Roman" w:cs="Times New Roman"/>
          <w:sz w:val="26"/>
          <w:szCs w:val="26"/>
        </w:rPr>
      </w:pPr>
      <w:bookmarkStart w:id="5" w:name="sub_41"/>
      <w:bookmarkEnd w:id="5"/>
      <w:r>
        <w:rPr>
          <w:rFonts w:cs="Times New Roman" w:ascii="Times New Roman" w:hAnsi="Times New Roman"/>
          <w:sz w:val="26"/>
          <w:szCs w:val="26"/>
        </w:rPr>
        <w:t>5. Главным распорядителям средств бюджета Татарско-Тавлинского сельского поселения Лямбирского муниципального района в срок до 1 марта 2020 г. представить в Финансовое управление Администрации Лямбирского муниципального района предложения об увеличении в 2020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2019 году, в объеме, не превышающем остатка неиспользованных на начало 2020 года  бюджетных ассигнований на исполнение указанных муниципальных контрактов.</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Лямбирского муниципального района осуществляет проверку на непревышение суммы, планируемой к увеличению на основании предложения соответствующего главного распорядителя средств бюджета Татарско-Тавлинского сельского поселения Лямбирского муниципального района, сумме не использованных на начало 2020 года соответствующих лимитов бюджетных обязательств.</w:t>
      </w:r>
    </w:p>
    <w:p>
      <w:pPr>
        <w:pStyle w:val="Normal"/>
        <w:spacing w:lineRule="auto" w:line="240" w:before="0" w:after="0"/>
        <w:ind w:left="0" w:right="0" w:firstLine="720"/>
        <w:jc w:val="both"/>
        <w:rPr>
          <w:rFonts w:ascii="Times New Roman" w:hAnsi="Times New Roman" w:cs="Times New Roman"/>
          <w:sz w:val="26"/>
          <w:szCs w:val="26"/>
        </w:rPr>
      </w:pPr>
      <w:bookmarkStart w:id="6" w:name="sub_5"/>
      <w:bookmarkEnd w:id="6"/>
      <w:r>
        <w:rPr>
          <w:rFonts w:cs="Times New Roman" w:ascii="Times New Roman" w:hAnsi="Times New Roman"/>
          <w:sz w:val="26"/>
          <w:szCs w:val="26"/>
        </w:rP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5.</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6. Установить, что получатели средств бюджета Татарско-Тавлинского сельского поселения Лямбирского муниципального района вправе предусматривать в заключаемых ими муниципальных контрактах (договорах) о поставке товаров, выполнении работ и оказании услуг, подлежащих оплате за счет средств бюджета Татарско-Тавлинского сельского поселения Лямбирского муниципального района, авансовые платежи в размере и порядке, которые установлены подпунктами 1 и 2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Правительства Республики Мордовия и Татарско-Тавлинского сельского поселения Лямбирского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1) с последующей оплатой денежных обязательств, возникающих по муниципальным контрактам (договорам) о поставке товаров, выполнении работ и оказании услуг, после подтверждения предусмотренных указанными муниципальными контрактами (договорами) поставки товаров, выполнения работ и оказания услуг в объеме произведенных авансовых платежей:</w:t>
      </w:r>
    </w:p>
    <w:p>
      <w:pPr>
        <w:pStyle w:val="Normal"/>
        <w:spacing w:lineRule="auto" w:line="240" w:before="0" w:after="0"/>
        <w:ind w:left="0" w:right="0" w:firstLine="720"/>
        <w:jc w:val="both"/>
        <w:rPr/>
      </w:pPr>
      <w:r>
        <w:rPr>
          <w:rFonts w:cs="Times New Roman" w:ascii="Times New Roman" w:hAnsi="Times New Roman"/>
          <w:sz w:val="26"/>
          <w:szCs w:val="26"/>
        </w:rPr>
        <w:t xml:space="preserve">до 100 процентов суммы муниципального контракта (договора) – по муниципальным контрактам (договорам) об оказании услуг связи, о подписке на печатные и электронные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бюджета Татарско-Тавлинского сельского поселения </w:t>
      </w:r>
      <w:bookmarkStart w:id="7" w:name="sub_63"/>
      <w:bookmarkEnd w:id="7"/>
      <w:r>
        <w:rPr>
          <w:rFonts w:cs="Times New Roman" w:ascii="Times New Roman" w:hAnsi="Times New Roman"/>
          <w:sz w:val="26"/>
          <w:szCs w:val="26"/>
        </w:rPr>
        <w:t>Лямбирского муниципального района,о приобретении авиа- и железнодорожных билетов, билетов для проезда на автомобильном и городским наземном электрическом транспорте в городском  и пригородном сообщениях, о приобретении путевок на санаторно-курортное лечение, по договорам обязательного страхования гражданской ответственности владельцев транспортных средств, о технологическом присоединении энергопринимающих устройств к электрическим сетям,  о приобретении и генерации электронных ключей;</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в размере, не превышающем 30 процентов суммы муниципального контракта (договора) - по остальным муниципальным контрактам (договорам) о поставке товаров, выполнении работ и оказании услуг, если иное не установлено законодательством Российской Федерации, Республики Мордовия и (или) нормативными правовыми актами Татарско-Тавлинского сельского поселения Лямбирского муниципального района;</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2) по муниципальным контрактам (договорам) о выполнении работ по строительству, реконструкции и капитальному ремонту объектов капитального строительства муниципальной собственности Татарско-Тавлинского сельского поселения Лямбирского муниципального района, если иное не установлено законодательством Татарско-Тавлинского сельского поселения Лямбирского муниципального района:</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на сумму не превышающую 10 млн. рублей, - в размере, не превышающем 30 процентов суммы муниципального контракта (договора), но не более 30 процентов лимитов бюджетных обязательств, доведенных по соответствующему коду бюджетной классификации Российской Федерации;</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на сумму, превышающую 100 млн. рублей, - в размере, не превышающем  30 процентов суммы муниципального контракта (договора), но не более доведенных лимитов бюджетных обязательств по соответствующему коду бюджетной классификации Российской Федерации, с последующим авансированием выполняемых работ после подтверждения выполнения предусмотренных муниципальным контрактом (договором) работ в объеме произведенного авансового платежа (с ограничением общей суммы авансирования не более 70 процентов суммы муниципального контракта (договора).</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Получатели средств бюджета Татарско-Тавлинского сельского поселения Лямбирского муниципального района при заключении муниципальных контрактов (договоров), указанных в абзаце третьем подпункта 1 и подпункте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Татарско-Тавлинского сельского поселения Лямбирского муниципального района.</w:t>
      </w:r>
    </w:p>
    <w:p>
      <w:pPr>
        <w:pStyle w:val="Normal"/>
        <w:spacing w:lineRule="auto" w:line="240" w:before="0" w:after="0"/>
        <w:ind w:left="0" w:right="0" w:firstLine="720"/>
        <w:jc w:val="both"/>
        <w:rPr/>
      </w:pPr>
      <w:r>
        <w:rPr>
          <w:rFonts w:cs="Times New Roman" w:ascii="Times New Roman" w:hAnsi="Times New Roman"/>
          <w:sz w:val="26"/>
          <w:szCs w:val="26"/>
        </w:rPr>
        <w:t xml:space="preserve">Администрация Татарско-Тавлинского сельского поселения Лямбирского муниципального района, осуществляющая функции и полномочия учредителя в отношении муниципальных бюджетных и автономных учреждений Татарско-Тавлинского сельского поселения Лямбирского муниципального района, обеспечивает включение указанными учреждениями при заключении ими муниципальных контрактов (договоров) о поставке товаров, выполнении работ и оказании услуг условий об авансовых платежах в объеме, не превышающем предельные размеры выплат авансовых платежей, установленных </w:t>
      </w:r>
      <w:hyperlink w:anchor="sub_6">
        <w:r>
          <w:rPr>
            <w:rStyle w:val="Style12"/>
            <w:rFonts w:cs="Times New Roman" w:ascii="Times New Roman" w:hAnsi="Times New Roman"/>
            <w:sz w:val="26"/>
            <w:szCs w:val="26"/>
            <w:u w:val="none"/>
          </w:rPr>
          <w:t>частью первой</w:t>
        </w:r>
      </w:hyperlink>
      <w:r>
        <w:rPr>
          <w:rFonts w:cs="Times New Roman" w:ascii="Times New Roman" w:hAnsi="Times New Roman"/>
          <w:sz w:val="26"/>
          <w:szCs w:val="26"/>
        </w:rPr>
        <w:t xml:space="preserve"> настоящего пункта для получателей средств бюджета Татарско-Тавлинского сельского поселения Лямбирского муниципального района.</w:t>
      </w:r>
    </w:p>
    <w:p>
      <w:pPr>
        <w:pStyle w:val="Normal"/>
        <w:spacing w:lineRule="auto" w:line="240" w:before="0" w:after="0"/>
        <w:ind w:left="0" w:right="0" w:firstLine="720"/>
        <w:jc w:val="both"/>
        <w:rPr>
          <w:rFonts w:ascii="Times New Roman" w:hAnsi="Times New Roman" w:cs="Times New Roman"/>
          <w:sz w:val="26"/>
          <w:szCs w:val="26"/>
        </w:rPr>
      </w:pPr>
      <w:bookmarkStart w:id="8" w:name="sub_7"/>
      <w:bookmarkEnd w:id="8"/>
      <w:r>
        <w:rPr>
          <w:rFonts w:cs="Times New Roman" w:ascii="Times New Roman" w:hAnsi="Times New Roman"/>
          <w:sz w:val="26"/>
          <w:szCs w:val="26"/>
        </w:rPr>
        <w:t>7. Установить, что в соответствии с бюджетным законодательством Российской Федерации осуществляется казначейское сопровождение:</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субсидий и бюджетных инвестиций, предоставляемых юридическим лицам,  авансовых платежей по муниципальным контрактам о поставке товаров, выполнении работ, оказании услуг для обеспечения муниципальных нужд Татарско-Тавлинского сельского поселения Лямбирского муниципального района, авансовых платежей по муниципальным контрактам, предметом которых являются капитальные вложения в объекты муниципальной собственности Татарско-Тавлинского сельского поселения Лямбирского муниципального района, авансовых платежей по контрактам (договорам) о поставке товаров, выполнении работ, оказании услуг, заключаемым муниципальными бюджетными и автономными учреждениями лямбирского муниципального района, если в целях софинансирования (финансового обеспечения) соответствующих расходных обязательств Татарско-Тавлинского сельского поселения Лямбирского муниципального района из республиканского бюджета Республики Мордовия предоставляются субсидии и иные межбюджетные трансферты;</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авансовых платежей по контрактам (договорам) о поставке товаров, выполнении работ, оказании услуг, заключаемым получателями субсидий и бюджетных инвестиций, указанным в абзаце втором настоящего пункта;</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t>авансовых платежей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абзацах втором и третьем настоящего пункта муниципальных контрактов (контрактов, договоров).</w:t>
      </w:r>
    </w:p>
    <w:p>
      <w:pPr>
        <w:pStyle w:val="Normal"/>
        <w:spacing w:lineRule="auto" w:line="240" w:before="0" w:after="0"/>
        <w:ind w:left="0" w:right="0" w:firstLine="720"/>
        <w:jc w:val="both"/>
        <w:rPr/>
      </w:pPr>
      <w:bookmarkStart w:id="9" w:name="sub_71"/>
      <w:bookmarkEnd w:id="9"/>
      <w:r>
        <w:rPr>
          <w:rFonts w:cs="Times New Roman" w:ascii="Times New Roman" w:hAnsi="Times New Roman"/>
          <w:sz w:val="26"/>
          <w:szCs w:val="26"/>
        </w:rPr>
        <w:t xml:space="preserve">8. Настоящее постановление вступает в силу со дня его </w:t>
      </w:r>
      <w:hyperlink r:id="rId4">
        <w:r>
          <w:rPr>
            <w:rStyle w:val="Style12"/>
            <w:rFonts w:cs="Times New Roman" w:ascii="Times New Roman" w:hAnsi="Times New Roman"/>
            <w:color w:val="auto"/>
            <w:sz w:val="26"/>
            <w:szCs w:val="26"/>
            <w:u w:val="none"/>
          </w:rPr>
          <w:t>официального опубликования</w:t>
        </w:r>
      </w:hyperlink>
      <w:r>
        <w:rPr>
          <w:rFonts w:cs="Times New Roman" w:ascii="Times New Roman" w:hAnsi="Times New Roman"/>
          <w:sz w:val="26"/>
          <w:szCs w:val="26"/>
        </w:rPr>
        <w:t xml:space="preserve"> в Информационном бюллетене Татарско-Тавлинского сельского поселения </w:t>
      </w:r>
      <w:bookmarkStart w:id="10" w:name="sub_9"/>
      <w:bookmarkEnd w:id="10"/>
      <w:r>
        <w:rPr>
          <w:rFonts w:cs="Times New Roman" w:ascii="Times New Roman" w:hAnsi="Times New Roman"/>
          <w:sz w:val="26"/>
          <w:szCs w:val="26"/>
        </w:rPr>
        <w:t>Лямбирского муниципального района.</w:t>
      </w:r>
    </w:p>
    <w:p>
      <w:pPr>
        <w:pStyle w:val="Normal"/>
        <w:spacing w:lineRule="auto" w:line="240" w:before="0" w:after="0"/>
        <w:ind w:left="0" w:right="0" w:firstLine="720"/>
        <w:jc w:val="both"/>
        <w:rPr>
          <w:rFonts w:ascii="Times New Roman" w:hAnsi="Times New Roman" w:cs="Times New Roman"/>
          <w:sz w:val="26"/>
          <w:szCs w:val="26"/>
        </w:rPr>
      </w:pPr>
      <w:r>
        <w:rPr>
          <w:rFonts w:cs="Times New Roman" w:ascii="Times New Roman" w:hAnsi="Times New Roman"/>
          <w:sz w:val="26"/>
          <w:szCs w:val="26"/>
        </w:rPr>
      </w:r>
    </w:p>
    <w:tbl>
      <w:tblPr>
        <w:tblW w:w="10491" w:type="dxa"/>
        <w:jc w:val="left"/>
        <w:tblInd w:w="-214" w:type="dxa"/>
        <w:tblCellMar>
          <w:top w:w="0" w:type="dxa"/>
          <w:left w:w="108" w:type="dxa"/>
          <w:bottom w:w="0" w:type="dxa"/>
          <w:right w:w="108" w:type="dxa"/>
        </w:tblCellMar>
      </w:tblPr>
      <w:tblGrid>
        <w:gridCol w:w="6993"/>
        <w:gridCol w:w="3497"/>
      </w:tblGrid>
      <w:tr>
        <w:trPr>
          <w:trHeight w:val="1561" w:hRule="atLeast"/>
        </w:trPr>
        <w:tc>
          <w:tcPr>
            <w:tcW w:w="6993" w:type="dxa"/>
            <w:tcBorders/>
            <w:shd w:fill="auto" w:val="clear"/>
          </w:tcPr>
          <w:p>
            <w:pPr>
              <w:pStyle w:val="Normal"/>
              <w:spacing w:lineRule="auto" w:line="240" w:before="0" w:after="0"/>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240" w:before="0" w:after="0"/>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240" w:before="0" w:after="0"/>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240" w:before="0" w:after="0"/>
              <w:rPr>
                <w:rFonts w:ascii="Times New Roman" w:hAnsi="Times New Roman" w:cs="Times New Roman"/>
                <w:b/>
                <w:b/>
                <w:bCs/>
                <w:sz w:val="26"/>
                <w:szCs w:val="26"/>
              </w:rPr>
            </w:pPr>
            <w:r>
              <w:rPr>
                <w:rFonts w:cs="Times New Roman" w:ascii="Times New Roman" w:hAnsi="Times New Roman"/>
                <w:b/>
                <w:bCs/>
                <w:sz w:val="26"/>
                <w:szCs w:val="26"/>
              </w:rPr>
              <w:t xml:space="preserve">Глава Татарско-Тавлинского </w:t>
            </w:r>
          </w:p>
          <w:p>
            <w:pPr>
              <w:pStyle w:val="Normal"/>
              <w:spacing w:lineRule="auto" w:line="240" w:before="0" w:after="0"/>
              <w:rPr>
                <w:rFonts w:ascii="Times New Roman" w:hAnsi="Times New Roman" w:cs="Times New Roman"/>
                <w:b/>
                <w:b/>
                <w:bCs/>
                <w:sz w:val="26"/>
                <w:szCs w:val="26"/>
              </w:rPr>
            </w:pPr>
            <w:r>
              <w:rPr>
                <w:rFonts w:cs="Times New Roman" w:ascii="Times New Roman" w:hAnsi="Times New Roman"/>
                <w:b/>
                <w:bCs/>
                <w:sz w:val="26"/>
                <w:szCs w:val="26"/>
              </w:rPr>
              <w:t xml:space="preserve">сельского поселения </w:t>
            </w:r>
          </w:p>
        </w:tc>
        <w:tc>
          <w:tcPr>
            <w:tcW w:w="3497" w:type="dxa"/>
            <w:tcBorders/>
            <w:shd w:fill="auto" w:val="clear"/>
          </w:tcPr>
          <w:p>
            <w:pPr>
              <w:pStyle w:val="Normal"/>
              <w:spacing w:lineRule="auto" w:line="240" w:before="0" w:after="0"/>
              <w:jc w:val="right"/>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240" w:before="0" w:after="0"/>
              <w:jc w:val="right"/>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240" w:before="0" w:after="0"/>
              <w:jc w:val="right"/>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240" w:before="0" w:after="0"/>
              <w:jc w:val="right"/>
              <w:rPr>
                <w:rFonts w:ascii="Times New Roman" w:hAnsi="Times New Roman" w:cs="Times New Roman"/>
                <w:b/>
                <w:b/>
                <w:bCs/>
                <w:sz w:val="26"/>
                <w:szCs w:val="26"/>
              </w:rPr>
            </w:pPr>
            <w:r>
              <w:rPr>
                <w:rFonts w:cs="Times New Roman" w:ascii="Times New Roman" w:hAnsi="Times New Roman"/>
                <w:b/>
                <w:bCs/>
                <w:sz w:val="26"/>
                <w:szCs w:val="26"/>
              </w:rPr>
            </w:r>
          </w:p>
          <w:p>
            <w:pPr>
              <w:pStyle w:val="Normal"/>
              <w:spacing w:lineRule="auto" w:line="240" w:before="0" w:after="0"/>
              <w:rPr>
                <w:rFonts w:ascii="Times New Roman" w:hAnsi="Times New Roman" w:cs="Times New Roman"/>
                <w:b/>
                <w:b/>
                <w:bCs/>
                <w:sz w:val="26"/>
                <w:szCs w:val="26"/>
              </w:rPr>
            </w:pPr>
            <w:r>
              <w:rPr>
                <w:rFonts w:cs="Times New Roman" w:ascii="Times New Roman" w:hAnsi="Times New Roman"/>
                <w:b/>
                <w:bCs/>
                <w:sz w:val="26"/>
                <w:szCs w:val="26"/>
              </w:rPr>
              <w:t xml:space="preserve">                  </w:t>
            </w:r>
            <w:r>
              <w:rPr>
                <w:rFonts w:cs="Times New Roman" w:ascii="Times New Roman" w:hAnsi="Times New Roman"/>
                <w:b/>
                <w:bCs/>
                <w:sz w:val="26"/>
                <w:szCs w:val="26"/>
              </w:rPr>
              <w:t>Р.И.Абузяров</w:t>
            </w:r>
          </w:p>
        </w:tc>
      </w:tr>
    </w:tbl>
    <w:p>
      <w:pPr>
        <w:pStyle w:val="Normal"/>
        <w:spacing w:lineRule="auto" w:line="240" w:before="0" w:after="0"/>
        <w:ind w:left="0" w:right="0" w:firstLine="720"/>
        <w:jc w:val="both"/>
        <w:rPr>
          <w:rFonts w:ascii="Arial" w:hAnsi="Arial" w:cs="Arial"/>
          <w:b/>
          <w:b/>
          <w:bCs/>
          <w:sz w:val="24"/>
          <w:szCs w:val="24"/>
        </w:rPr>
      </w:pPr>
      <w:r>
        <w:rPr>
          <w:rFonts w:cs="Arial" w:ascii="Arial" w:hAnsi="Arial"/>
          <w:b/>
          <w:bCs/>
          <w:sz w:val="24"/>
          <w:szCs w:val="24"/>
        </w:rPr>
      </w:r>
    </w:p>
    <w:p>
      <w:pPr>
        <w:pStyle w:val="Normal"/>
        <w:spacing w:lineRule="auto" w:line="240" w:before="0" w:after="0"/>
        <w:jc w:val="both"/>
        <w:rPr/>
      </w:pPr>
      <w:r>
        <w:rPr/>
      </w:r>
    </w:p>
    <w:sectPr>
      <w:type w:val="nextPage"/>
      <w:pgSz w:w="11906" w:h="16800"/>
      <w:pgMar w:left="1100" w:right="800" w:header="0" w:top="567" w:footer="0" w:bottom="426" w:gutter="0"/>
      <w:pgNumType w:fmt="decimal"/>
      <w:formProt w:val="false"/>
      <w:textDirection w:val="lrTb"/>
      <w:docGrid w:type="default" w:linePitch="24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Arial">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10"/>
  <w:embedSystemFonts/>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 w:val="20"/>
        <w:szCs w:val="22"/>
        <w:lang w:val="ru-RU" w:eastAsia="ru-RU" w:bidi="ar-SA"/>
      </w:rPr>
    </w:rPrDefault>
    <w:pPrDefault>
      <w:pPr/>
    </w:pPrDefault>
  </w:docDefaults>
  <w:style w:type="paragraph" w:styleId="Normal">
    <w:name w:val="Normal"/>
    <w:qFormat/>
    <w:pPr>
      <w:widowControl/>
      <w:overflowPunct w:val="false"/>
      <w:bidi w:val="0"/>
      <w:spacing w:lineRule="auto" w:line="276" w:before="0" w:after="200"/>
      <w:jc w:val="left"/>
    </w:pPr>
    <w:rPr>
      <w:rFonts w:ascii="Calibri" w:hAnsi="Calibri" w:eastAsia="Calibri" w:cs="Calibri"/>
      <w:color w:val="auto"/>
      <w:kern w:val="0"/>
      <w:sz w:val="22"/>
      <w:szCs w:val="22"/>
      <w:lang w:val="ru-RU" w:eastAsia="en-US" w:bidi="ar-SA"/>
    </w:rPr>
  </w:style>
  <w:style w:type="paragraph" w:styleId="1">
    <w:name w:val="Heading 1"/>
    <w:basedOn w:val="Normal"/>
    <w:qFormat/>
    <w:pPr>
      <w:spacing w:lineRule="auto" w:line="240" w:before="108" w:after="108"/>
      <w:jc w:val="center"/>
      <w:outlineLvl w:val="0"/>
    </w:pPr>
    <w:rPr>
      <w:rFonts w:ascii="Arial" w:hAnsi="Arial" w:cs="Arial"/>
      <w:b/>
      <w:bCs/>
      <w:color w:val="26282F"/>
      <w:sz w:val="24"/>
      <w:szCs w:val="24"/>
    </w:rPr>
  </w:style>
  <w:style w:type="paragraph" w:styleId="2">
    <w:name w:val="Heading 2"/>
    <w:basedOn w:val="Style13"/>
    <w:qFormat/>
    <w:pPr/>
    <w:rPr/>
  </w:style>
  <w:style w:type="paragraph" w:styleId="3">
    <w:name w:val="Heading 3"/>
    <w:basedOn w:val="Style13"/>
    <w:qFormat/>
    <w:pPr/>
    <w:rPr/>
  </w:style>
  <w:style w:type="character" w:styleId="DefaultParagraphFont">
    <w:name w:val="Default Paragraph Font"/>
    <w:qFormat/>
    <w:rPr/>
  </w:style>
  <w:style w:type="character" w:styleId="11">
    <w:name w:val="Заголовок 1 Знак"/>
    <w:basedOn w:val="DefaultParagraphFont"/>
    <w:qFormat/>
    <w:rPr>
      <w:rFonts w:ascii="Arial" w:hAnsi="Arial" w:cs="Arial"/>
      <w:b/>
      <w:bCs/>
      <w:color w:val="26282F"/>
      <w:sz w:val="24"/>
      <w:szCs w:val="24"/>
    </w:rPr>
  </w:style>
  <w:style w:type="character" w:styleId="Style11">
    <w:name w:val="Гипертекстовая ссылка"/>
    <w:basedOn w:val="DefaultParagraphFont"/>
    <w:qFormat/>
    <w:rPr>
      <w:color w:val="00000A"/>
    </w:rPr>
  </w:style>
  <w:style w:type="character" w:styleId="Style12">
    <w:name w:val="Интернет-ссылка"/>
    <w:rPr>
      <w:color w:val="000080"/>
      <w:u w:val="single"/>
      <w:lang w:val="zxx" w:eastAsia="zxx" w:bidi="zxx"/>
    </w:rPr>
  </w:style>
  <w:style w:type="character" w:styleId="ListLabel1">
    <w:name w:val="ListLabel 1"/>
    <w:qFormat/>
    <w:rPr>
      <w:rFonts w:ascii="Times New Roman" w:hAnsi="Times New Roman" w:cs="Times New Roman"/>
      <w:sz w:val="26"/>
      <w:szCs w:val="26"/>
    </w:rPr>
  </w:style>
  <w:style w:type="character" w:styleId="ListLabel2">
    <w:name w:val="ListLabel 2"/>
    <w:qFormat/>
    <w:rPr>
      <w:rFonts w:ascii="Times New Roman" w:hAnsi="Times New Roman" w:cs="Times New Roman"/>
      <w:color w:val="auto"/>
      <w:sz w:val="26"/>
      <w:szCs w:val="26"/>
      <w:u w:val="none"/>
    </w:rPr>
  </w:style>
  <w:style w:type="character" w:styleId="ListLabel3">
    <w:name w:val="ListLabel 3"/>
    <w:qFormat/>
    <w:rPr>
      <w:rFonts w:ascii="Times New Roman" w:hAnsi="Times New Roman" w:cs="Times New Roman"/>
      <w:sz w:val="26"/>
      <w:szCs w:val="26"/>
      <w:u w:val="none"/>
    </w:rPr>
  </w:style>
  <w:style w:type="character" w:styleId="ListLabel4">
    <w:name w:val="ListLabel 4"/>
    <w:qFormat/>
    <w:rPr>
      <w:rFonts w:ascii="Times New Roman" w:hAnsi="Times New Roman" w:cs="Times New Roman"/>
      <w:color w:val="auto"/>
      <w:sz w:val="26"/>
      <w:szCs w:val="26"/>
      <w:u w:val="none"/>
    </w:rPr>
  </w:style>
  <w:style w:type="character" w:styleId="ListLabel5">
    <w:name w:val="ListLabel 5"/>
    <w:qFormat/>
    <w:rPr>
      <w:rFonts w:ascii="Times New Roman" w:hAnsi="Times New Roman" w:cs="Times New Roman"/>
      <w:sz w:val="26"/>
      <w:szCs w:val="26"/>
      <w:u w:val="none"/>
    </w:rPr>
  </w:style>
  <w:style w:type="character" w:styleId="ListLabel6">
    <w:name w:val="ListLabel 6"/>
    <w:qFormat/>
    <w:rPr>
      <w:rFonts w:ascii="Times New Roman" w:hAnsi="Times New Roman" w:cs="Times New Roman"/>
      <w:color w:val="auto"/>
      <w:sz w:val="26"/>
      <w:szCs w:val="26"/>
      <w:u w:val="none"/>
    </w:rPr>
  </w:style>
  <w:style w:type="character" w:styleId="ListLabel7">
    <w:name w:val="ListLabel 7"/>
    <w:qFormat/>
    <w:rPr>
      <w:rFonts w:ascii="Times New Roman" w:hAnsi="Times New Roman" w:cs="Times New Roman"/>
      <w:sz w:val="26"/>
      <w:szCs w:val="26"/>
      <w:u w:val="none"/>
    </w:rPr>
  </w:style>
  <w:style w:type="paragraph" w:styleId="Style13">
    <w:name w:val="Заголовок"/>
    <w:basedOn w:val="Normal"/>
    <w:next w:val="Style14"/>
    <w:qFormat/>
    <w:pPr>
      <w:keepNext w:val="true"/>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 w:type="paragraph" w:styleId="Style18">
    <w:name w:val="Комментарий"/>
    <w:basedOn w:val="Normal"/>
    <w:qFormat/>
    <w:pPr/>
    <w:rPr>
      <w:rFonts w:ascii="Arial" w:hAnsi="Arial" w:cs="Arial"/>
      <w:color w:val="353842"/>
      <w:sz w:val="24"/>
      <w:szCs w:val="24"/>
      <w:highlight w:val="white"/>
    </w:rPr>
  </w:style>
  <w:style w:type="paragraph" w:styleId="Style19">
    <w:name w:val="Информация об изменениях документа"/>
    <w:basedOn w:val="Style18"/>
    <w:qFormat/>
    <w:pPr/>
    <w:rPr>
      <w:i/>
      <w:iCs/>
    </w:rPr>
  </w:style>
  <w:style w:type="paragraph" w:styleId="Style20">
    <w:name w:val="Нормальный (таблица)"/>
    <w:basedOn w:val="Normal"/>
    <w:qFormat/>
    <w:pPr>
      <w:spacing w:lineRule="auto" w:line="240" w:before="0" w:after="0"/>
      <w:jc w:val="both"/>
    </w:pPr>
    <w:rPr>
      <w:rFonts w:ascii="Arial" w:hAnsi="Arial" w:cs="Arial"/>
      <w:sz w:val="24"/>
      <w:szCs w:val="24"/>
    </w:rPr>
  </w:style>
  <w:style w:type="paragraph" w:styleId="Style21">
    <w:name w:val="Прижатый влево"/>
    <w:basedOn w:val="Normal"/>
    <w:qFormat/>
    <w:pPr>
      <w:spacing w:lineRule="auto" w:line="240" w:before="0" w:after="0"/>
    </w:pPr>
    <w:rPr>
      <w:rFonts w:ascii="Arial" w:hAnsi="Arial" w:cs="Arial"/>
      <w:sz w:val="24"/>
      <w:szCs w:val="24"/>
    </w:rPr>
  </w:style>
  <w:style w:type="paragraph" w:styleId="Style22">
    <w:name w:val="Знак Знак Знак Знак Знак Знак Знак Знак Знак Знак Знак Знак Знак Знак Знак Знак Знак Знак Знак Знак Знак Знак"/>
    <w:basedOn w:val="Normal"/>
    <w:qFormat/>
    <w:pPr>
      <w:spacing w:lineRule="exact" w:line="240" w:before="0" w:after="160"/>
    </w:pPr>
    <w:rPr>
      <w:rFonts w:ascii="Arial" w:hAnsi="Arial" w:eastAsia="Times New Roman" w:cs="Arial"/>
      <w:sz w:val="20"/>
      <w:szCs w:val="20"/>
      <w:lang w:val="en-US"/>
    </w:rPr>
  </w:style>
  <w:style w:type="paragraph" w:styleId="Style23">
    <w:name w:val="Блочная цитата"/>
    <w:basedOn w:val="Normal"/>
    <w:qFormat/>
    <w:pPr/>
    <w:rPr/>
  </w:style>
  <w:style w:type="paragraph" w:styleId="Style24">
    <w:name w:val="Title"/>
    <w:basedOn w:val="Style13"/>
    <w:qFormat/>
    <w:pPr/>
    <w:rPr/>
  </w:style>
  <w:style w:type="paragraph" w:styleId="Style25">
    <w:name w:val="Subtitle"/>
    <w:basedOn w:val="Style13"/>
    <w:qFormat/>
    <w:pPr/>
    <w:rPr/>
  </w:style>
  <w:style w:type="paragraph" w:styleId="Style26">
    <w:name w:val="Содержимое таблицы"/>
    <w:basedOn w:val="Normal"/>
    <w:qFormat/>
    <w:pPr>
      <w:suppressLineNumbers/>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garantf1://44811110.1000" TargetMode="External"/><Relationship Id="rId3" Type="http://schemas.openxmlformats.org/officeDocument/2006/relationships/hyperlink" Target="garantf1://44811110.0" TargetMode="External"/><Relationship Id="rId4" Type="http://schemas.openxmlformats.org/officeDocument/2006/relationships/hyperlink" Target="garantf1://4481369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245</TotalTime>
  <Application>LibreOffice/6.2.8.2$Windows_X86_64 LibreOffice_project/f82ddfca21ebc1e222a662a32b25c0c9d20169ee</Application>
  <Pages>2</Pages>
  <Words>1777</Words>
  <Characters>14029</Characters>
  <CharactersWithSpaces>16077</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2019-02-04T10:57:00Z</dcterms:created>
  <dc:creator>Ильвера Р. Кудрякова</dc:creator>
  <dc:description/>
  <dc:language>ru-RU</dc:language>
  <cp:lastModifiedBy/>
  <cp:lastPrinted>2020-03-05T09:30:39Z</cp:lastPrinted>
  <dcterms:modified xsi:type="dcterms:W3CDTF">2020-03-05T09:47:05Z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