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sdt>
      <w:sdtPr>
        <w:docPartObj>
          <w:docPartGallery w:val="Table of Contents"/>
          <w:docPartUnique w:val="true"/>
        </w:docPartObj>
        <w:id w:val="194725963"/>
      </w:sdtPr>
      <w:sdtContent>
        <w:p>
          <w:pPr>
            <w:pStyle w:val="Style25"/>
            <w:spacing w:lineRule="auto" w:line="360" w:before="0" w:after="0"/>
            <w:jc w:val="both"/>
            <w:rPr/>
          </w:pPr>
          <w:r>
            <w:rPr>
              <w:rFonts w:cs="Times New Roman" w:ascii="Times New Roman" w:hAnsi="Times New Roman"/>
              <w:b w:val="false"/>
              <w:color w:val="000000" w:themeColor="text1"/>
            </w:rPr>
            <w:t>Содержание</w:t>
          </w:r>
        </w:p>
        <w:p>
          <w:pPr>
            <w:pStyle w:val="13"/>
            <w:tabs>
              <w:tab w:val="right" w:pos="9345" w:leader="dot"/>
            </w:tabs>
            <w:spacing w:lineRule="auto" w:line="360" w:before="0"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fldChar w:fldCharType="begin"/>
          </w:r>
          <w:r>
            <w:instrText> TOC \z \o "1-3" \u \h</w:instrText>
          </w:r>
          <w:r>
            <w:fldChar w:fldCharType="separate"/>
          </w:r>
          <w:r>
            <w:rPr>
              <w:rFonts w:cs="Times New Roman" w:ascii="Times New Roman" w:hAnsi="Times New Roman"/>
              <w:sz w:val="28"/>
              <w:szCs w:val="28"/>
            </w:rPr>
          </w:r>
          <w:r>
            <w:fldChar w:fldCharType="end"/>
          </w:r>
        </w:p>
        <w:p>
          <w:pPr>
            <w:pStyle w:val="13"/>
            <w:tabs>
              <w:tab w:val="right" w:pos="9345" w:leader="dot"/>
            </w:tabs>
            <w:spacing w:lineRule="auto" w:line="360" w:before="0" w:after="0"/>
            <w:jc w:val="both"/>
            <w:rPr/>
          </w:pPr>
          <w:hyperlink w:anchor="_Toc470680093">
            <w:r>
              <w:rPr>
                <w:webHidden/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  <w:t>1. Перспективные показатели развития Татарско-Тавлинского  сельского поселения для разработки программы</w:t>
            </w:r>
            <w:r>
              <w:fldChar w:fldCharType="begin"/>
            </w:r>
            <w:r/>
            <w:r>
              <w:fldChar w:fldCharType="separate"/>
            </w:r>
            <w:bookmarkStart w:id="0" w:name="__Fieldmark__11_371409316"/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1" w:name="__Fieldmark__17_371409316"/>
            <w:bookmarkStart w:id="2" w:name="__Fieldmark__7_518492000"/>
            <w:bookmarkEnd w:id="0"/>
            <w:bookmarkEnd w:id="2"/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bookmarkEnd w:id="1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_Toc470680093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_Toc470680093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22"/>
            <w:tabs>
              <w:tab w:val="right" w:pos="9345" w:leader="dot"/>
            </w:tabs>
            <w:spacing w:lineRule="auto" w:line="360" w:before="0" w:after="0"/>
            <w:ind w:left="0" w:hanging="0"/>
            <w:jc w:val="both"/>
            <w:rPr/>
          </w:pPr>
          <w:hyperlink w:anchor="_Toc470680094">
            <w:r>
              <w:rPr>
                <w:webHidden/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  <w:t>1.1 Характеристика сельского поселения</w:t>
            </w:r>
            <w:r>
              <w:fldChar w:fldCharType="begin"/>
            </w:r>
            <w:r/>
            <w:r>
              <w:fldChar w:fldCharType="separate"/>
            </w:r>
            <w:bookmarkStart w:id="3" w:name="__Fieldmark__23_371409316"/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4" w:name="__Fieldmark__29_371409316"/>
            <w:bookmarkStart w:id="5" w:name="__Fieldmark__14_518492000"/>
            <w:bookmarkEnd w:id="3"/>
            <w:bookmarkEnd w:id="5"/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bookmarkEnd w:id="4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_Toc470680094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_Toc470680094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22"/>
            <w:tabs>
              <w:tab w:val="right" w:pos="9345" w:leader="dot"/>
            </w:tabs>
            <w:spacing w:lineRule="auto" w:line="360" w:before="0" w:after="0"/>
            <w:ind w:left="0" w:hanging="0"/>
            <w:jc w:val="both"/>
            <w:rPr/>
          </w:pPr>
          <w:hyperlink w:anchor="_Toc470680095">
            <w:r>
              <w:rPr>
                <w:webHidden/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  <w:t>1.1.1 Социальное обслуживание населения</w:t>
            </w:r>
            <w:r>
              <w:fldChar w:fldCharType="begin"/>
            </w:r>
            <w:r/>
            <w:r>
              <w:fldChar w:fldCharType="separate"/>
            </w:r>
            <w:bookmarkStart w:id="6" w:name="__Fieldmark__35_371409316"/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7" w:name="__Fieldmark__41_371409316"/>
            <w:bookmarkStart w:id="8" w:name="__Fieldmark__21_518492000"/>
            <w:bookmarkEnd w:id="6"/>
            <w:bookmarkEnd w:id="8"/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bookmarkEnd w:id="7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_Toc470680095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_Toc470680095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22"/>
            <w:tabs>
              <w:tab w:val="right" w:pos="9345" w:leader="dot"/>
            </w:tabs>
            <w:spacing w:lineRule="auto" w:line="360" w:before="0" w:after="0"/>
            <w:ind w:left="0" w:hanging="0"/>
            <w:jc w:val="both"/>
            <w:rPr/>
          </w:pPr>
          <w:hyperlink w:anchor="_Toc470680096">
            <w:r>
              <w:rPr>
                <w:webHidden/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  <w:t>1.1.2 Экономика и производство</w:t>
            </w:r>
            <w:r>
              <w:fldChar w:fldCharType="begin"/>
            </w:r>
            <w:r/>
            <w:r>
              <w:fldChar w:fldCharType="separate"/>
            </w:r>
            <w:bookmarkStart w:id="9" w:name="__Fieldmark__47_371409316"/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10" w:name="__Fieldmark__53_371409316"/>
            <w:bookmarkStart w:id="11" w:name="__Fieldmark__28_518492000"/>
            <w:bookmarkEnd w:id="9"/>
            <w:bookmarkEnd w:id="11"/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bookmarkEnd w:id="10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_Toc470680096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_Toc470680096 \h </w:instrText>
            </w:r>
            <w:r>
              <w:fldChar w:fldCharType="separate"/>
            </w:r>
            <w:r>
              <w:t>5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22"/>
            <w:tabs>
              <w:tab w:val="right" w:pos="9345" w:leader="dot"/>
            </w:tabs>
            <w:spacing w:lineRule="auto" w:line="360" w:before="0" w:after="0"/>
            <w:ind w:left="0" w:hanging="0"/>
            <w:jc w:val="both"/>
            <w:rPr/>
          </w:pPr>
          <w:hyperlink w:anchor="_Toc470680097">
            <w:r>
              <w:rPr>
                <w:webHidden/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  <w:t>1.1.3 Природные  условия</w:t>
            </w:r>
            <w:r>
              <w:fldChar w:fldCharType="begin"/>
            </w:r>
            <w:r/>
            <w:r>
              <w:fldChar w:fldCharType="separate"/>
            </w:r>
            <w:bookmarkStart w:id="12" w:name="__Fieldmark__59_371409316"/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fldChar w:fldCharType="begin"/>
            </w:r>
            <w:r/>
            <w:r>
              <w:fldChar w:fldCharType="separate"/>
            </w:r>
            <w:bookmarkStart w:id="13" w:name="__Fieldmark__65_371409316"/>
            <w:bookmarkStart w:id="14" w:name="__Fieldmark__35_518492000"/>
            <w:bookmarkEnd w:id="12"/>
            <w:bookmarkEnd w:id="14"/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bookmarkEnd w:id="13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_Toc470680097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_Toc470680097 \h </w:instrText>
            </w:r>
            <w:r>
              <w:fldChar w:fldCharType="separate"/>
            </w:r>
            <w:r>
              <w:t>6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32"/>
            <w:tabs>
              <w:tab w:val="right" w:pos="9345" w:leader="dot"/>
            </w:tabs>
            <w:spacing w:lineRule="auto" w:line="360" w:before="0" w:after="0"/>
            <w:ind w:left="0" w:hanging="0"/>
            <w:jc w:val="both"/>
            <w:rPr/>
          </w:pPr>
          <w:hyperlink w:anchor="_Toc470680099">
            <w:r>
              <w:rPr>
                <w:webHidden/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  <w:t>1.1.4. Социально – экономическое развитие</w:t>
            </w:r>
            <w:r>
              <w:fldChar w:fldCharType="begin"/>
            </w:r>
            <w:r/>
            <w:r>
              <w:fldChar w:fldCharType="separate"/>
            </w:r>
            <w:bookmarkStart w:id="15" w:name="__Fieldmark__71_371409316"/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16" w:name="__Fieldmark__77_371409316"/>
            <w:bookmarkStart w:id="17" w:name="__Fieldmark__42_518492000"/>
            <w:bookmarkEnd w:id="15"/>
            <w:bookmarkEnd w:id="17"/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bookmarkEnd w:id="16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_Toc470680099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_Toc470680099 \h </w:instrText>
            </w:r>
            <w:r>
              <w:fldChar w:fldCharType="separate"/>
            </w:r>
            <w:r>
              <w:t>9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22"/>
            <w:tabs>
              <w:tab w:val="right" w:pos="9345" w:leader="dot"/>
            </w:tabs>
            <w:spacing w:lineRule="auto" w:line="360" w:before="0" w:after="0"/>
            <w:ind w:left="0" w:hanging="0"/>
            <w:jc w:val="both"/>
            <w:rPr/>
          </w:pPr>
          <w:hyperlink w:anchor="_Toc470680100">
            <w:r>
              <w:rPr>
                <w:webHidden/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  <w:t>1.2 Прогноз численности и состава населения</w:t>
            </w:r>
            <w:r>
              <w:fldChar w:fldCharType="begin"/>
            </w:r>
            <w:r/>
            <w:r>
              <w:fldChar w:fldCharType="separate"/>
            </w:r>
            <w:bookmarkStart w:id="18" w:name="__Fieldmark__83_371409316"/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fldChar w:fldCharType="begin"/>
            </w:r>
            <w:r/>
            <w:r>
              <w:fldChar w:fldCharType="separate"/>
            </w:r>
            <w:bookmarkStart w:id="19" w:name="__Fieldmark__89_371409316"/>
            <w:bookmarkStart w:id="20" w:name="__Fieldmark__49_518492000"/>
            <w:bookmarkEnd w:id="18"/>
            <w:bookmarkEnd w:id="20"/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bookmarkEnd w:id="19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_Toc470680100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_Toc470680100 \h </w:instrText>
            </w:r>
            <w:r>
              <w:fldChar w:fldCharType="separate"/>
            </w:r>
            <w:r>
              <w:t>12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22"/>
            <w:tabs>
              <w:tab w:val="left" w:pos="880" w:leader="none"/>
              <w:tab w:val="right" w:pos="9345" w:leader="dot"/>
            </w:tabs>
            <w:spacing w:lineRule="auto" w:line="360" w:before="0" w:after="0"/>
            <w:ind w:left="0" w:hanging="0"/>
            <w:jc w:val="both"/>
            <w:rPr/>
          </w:pPr>
          <w:hyperlink w:anchor="_Toc470680101">
            <w:r>
              <w:rPr>
                <w:webHidden/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  <w:t>1.3</w:t>
            </w:r>
            <w:r>
              <w:rPr>
                <w:rStyle w:val="Style16"/>
                <w:rFonts w:eastAsia="" w:cs="Times New Roman" w:ascii="Times New Roman" w:hAnsi="Times New Roman" w:eastAsiaTheme="minorEastAsia"/>
                <w:sz w:val="28"/>
                <w:szCs w:val="28"/>
                <w:lang w:eastAsia="ru-RU"/>
              </w:rPr>
              <w:tab/>
            </w:r>
            <w:r>
              <w:rPr>
                <w:rStyle w:val="Style16"/>
                <w:rFonts w:cs="Times New Roman" w:ascii="Times New Roman" w:hAnsi="Times New Roman"/>
                <w:sz w:val="28"/>
                <w:szCs w:val="28"/>
              </w:rPr>
              <w:t>Прогноз социально-экономического развития</w:t>
            </w:r>
            <w:r>
              <w:fldChar w:fldCharType="begin"/>
            </w:r>
            <w:r/>
            <w:r>
              <w:fldChar w:fldCharType="separate"/>
            </w:r>
            <w:bookmarkStart w:id="21" w:name="__Fieldmark__97_371409316"/>
            <w:r>
              <w:rPr>
                <w:rStyle w:val="Style16"/>
                <w:rFonts w:cs="Times New Roman" w:ascii="Times New Roman" w:hAnsi="Times New Roman"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22" w:name="__Fieldmark__103_371409316"/>
            <w:bookmarkStart w:id="23" w:name="__Fieldmark__58_518492000"/>
            <w:bookmarkEnd w:id="21"/>
            <w:bookmarkEnd w:id="23"/>
            <w:r>
              <w:rPr>
                <w:rStyle w:val="Style16"/>
                <w:rFonts w:cs="Times New Roman" w:ascii="Times New Roman" w:hAnsi="Times New Roman"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sz w:val="28"/>
                <w:szCs w:val="28"/>
              </w:rPr>
            </w:r>
            <w:bookmarkEnd w:id="22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_Toc470680101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cs="Times New Roman" w:ascii="Times New Roman" w:hAnsi="Times New Roman"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_Toc470680101 \h </w:instrText>
            </w:r>
            <w:r>
              <w:fldChar w:fldCharType="separate"/>
            </w:r>
            <w:r>
              <w:t>14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13"/>
            <w:tabs>
              <w:tab w:val="right" w:pos="9345" w:leader="dot"/>
            </w:tabs>
            <w:spacing w:lineRule="auto" w:line="360" w:before="0" w:after="0"/>
            <w:jc w:val="both"/>
            <w:rPr/>
          </w:pPr>
          <w:hyperlink w:anchor="_Toc470680102">
            <w:r>
              <w:rPr>
                <w:webHidden/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  <w:t>2. Перспективные показатели спроса на коммунальные ресурсы</w:t>
            </w:r>
            <w:r>
              <w:fldChar w:fldCharType="begin"/>
            </w:r>
            <w:r/>
            <w:r>
              <w:fldChar w:fldCharType="separate"/>
            </w:r>
            <w:bookmarkStart w:id="24" w:name="__Fieldmark__109_371409316"/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25" w:name="__Fieldmark__115_371409316"/>
            <w:bookmarkStart w:id="26" w:name="__Fieldmark__65_518492000"/>
            <w:bookmarkEnd w:id="24"/>
            <w:bookmarkEnd w:id="26"/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bookmarkEnd w:id="25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_Toc470680102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_Toc470680102 \h </w:instrText>
            </w:r>
            <w:r>
              <w:fldChar w:fldCharType="separate"/>
            </w:r>
            <w:r>
              <w:t>17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13"/>
            <w:tabs>
              <w:tab w:val="right" w:pos="9345" w:leader="dot"/>
            </w:tabs>
            <w:spacing w:lineRule="auto" w:line="360" w:before="0" w:after="0"/>
            <w:jc w:val="both"/>
            <w:rPr/>
          </w:pPr>
          <w:hyperlink w:anchor="_Toc470680103">
            <w:r>
              <w:rPr>
                <w:webHidden/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  <w:t>3. Характеристика состояния и проблем коммунальной инфраструктуры</w:t>
            </w:r>
            <w:r>
              <w:fldChar w:fldCharType="begin"/>
            </w:r>
            <w:r/>
            <w:r>
              <w:fldChar w:fldCharType="separate"/>
            </w:r>
            <w:bookmarkStart w:id="27" w:name="__Fieldmark__121_371409316"/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28" w:name="__Fieldmark__127_371409316"/>
            <w:bookmarkStart w:id="29" w:name="__Fieldmark__72_518492000"/>
            <w:bookmarkEnd w:id="27"/>
            <w:bookmarkEnd w:id="29"/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</w:r>
            <w:bookmarkEnd w:id="28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_Toc470680103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_Toc470680103 \h </w:instrText>
            </w:r>
            <w:r>
              <w:fldChar w:fldCharType="separate"/>
            </w:r>
            <w:r>
              <w:t>19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22"/>
            <w:tabs>
              <w:tab w:val="right" w:pos="9345" w:leader="dot"/>
            </w:tabs>
            <w:spacing w:lineRule="auto" w:line="360" w:before="0" w:after="0"/>
            <w:ind w:left="0" w:hanging="0"/>
            <w:jc w:val="both"/>
            <w:rPr/>
          </w:pPr>
          <w:hyperlink w:anchor="_Toc470680104">
            <w:r>
              <w:rPr>
                <w:webHidden/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  <w:t>3.1.</w:t>
            </w:r>
            <w:r>
              <w:rPr>
                <w:rStyle w:val="Style16"/>
                <w:rFonts w:cs="Times New Roman" w:ascii="Times New Roman" w:hAnsi="Times New Roman"/>
                <w:sz w:val="28"/>
                <w:szCs w:val="28"/>
              </w:rPr>
              <w:t xml:space="preserve"> Водоснабжение</w:t>
            </w:r>
            <w:r>
              <w:fldChar w:fldCharType="begin"/>
            </w:r>
            <w:r/>
            <w:r>
              <w:fldChar w:fldCharType="separate"/>
            </w:r>
            <w:bookmarkStart w:id="30" w:name="__Fieldmark__134_371409316"/>
            <w:r>
              <w:rPr>
                <w:rStyle w:val="Style16"/>
                <w:rFonts w:cs="Times New Roman" w:ascii="Times New Roman" w:hAnsi="Times New Roman"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31" w:name="__Fieldmark__140_371409316"/>
            <w:bookmarkStart w:id="32" w:name="__Fieldmark__80_518492000"/>
            <w:bookmarkEnd w:id="30"/>
            <w:bookmarkEnd w:id="32"/>
            <w:r>
              <w:rPr>
                <w:rStyle w:val="Style16"/>
                <w:rFonts w:cs="Times New Roman" w:ascii="Times New Roman" w:hAnsi="Times New Roman"/>
                <w:sz w:val="28"/>
                <w:szCs w:val="28"/>
              </w:rPr>
            </w:r>
            <w:r>
              <w:rPr>
                <w:rStyle w:val="Style16"/>
                <w:rFonts w:cs="Times New Roman" w:ascii="Times New Roman" w:hAnsi="Times New Roman"/>
                <w:sz w:val="28"/>
                <w:szCs w:val="28"/>
              </w:rPr>
            </w:r>
            <w:bookmarkEnd w:id="31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_Toc470680104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cs="Times New Roman" w:ascii="Times New Roman" w:hAnsi="Times New Roman"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_Toc470680104 \h </w:instrText>
            </w:r>
            <w:r>
              <w:fldChar w:fldCharType="separate"/>
            </w:r>
            <w:r>
              <w:t>19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22"/>
            <w:tabs>
              <w:tab w:val="right" w:pos="9345" w:leader="dot"/>
            </w:tabs>
            <w:spacing w:lineRule="auto" w:line="360" w:before="0" w:after="0"/>
            <w:ind w:left="0" w:hanging="0"/>
            <w:jc w:val="both"/>
            <w:rPr/>
          </w:pPr>
          <w:hyperlink w:anchor="_Toc470680105">
            <w:r>
              <w:rPr>
                <w:webHidden/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  <w:t>3.2 Газоснабжение</w:t>
            </w:r>
            <w:r>
              <w:fldChar w:fldCharType="begin"/>
            </w:r>
            <w:r/>
            <w:r>
              <w:fldChar w:fldCharType="separate"/>
            </w:r>
            <w:bookmarkStart w:id="33" w:name="__Fieldmark__146_371409316"/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fldChar w:fldCharType="begin"/>
            </w:r>
            <w:r/>
            <w:r>
              <w:fldChar w:fldCharType="separate"/>
            </w:r>
            <w:bookmarkStart w:id="34" w:name="__Fieldmark__152_371409316"/>
            <w:bookmarkStart w:id="35" w:name="__Fieldmark__87_518492000"/>
            <w:bookmarkEnd w:id="33"/>
            <w:bookmarkEnd w:id="35"/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bookmarkEnd w:id="34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_Toc470680105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_Toc470680105 \h </w:instrText>
            </w:r>
            <w:r>
              <w:fldChar w:fldCharType="separate"/>
            </w:r>
            <w:r>
              <w:t>20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22"/>
            <w:tabs>
              <w:tab w:val="right" w:pos="9345" w:leader="dot"/>
            </w:tabs>
            <w:spacing w:lineRule="auto" w:line="360" w:before="0" w:after="0"/>
            <w:ind w:left="0" w:hanging="0"/>
            <w:jc w:val="both"/>
            <w:rPr/>
          </w:pPr>
          <w:hyperlink w:anchor="_Toc470680106">
            <w:r>
              <w:rPr>
                <w:webHidden/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  <w:t>3.3 Электроснабжение</w:t>
            </w:r>
            <w:r>
              <w:fldChar w:fldCharType="begin"/>
            </w:r>
            <w:r/>
            <w:r>
              <w:fldChar w:fldCharType="separate"/>
            </w:r>
            <w:bookmarkStart w:id="36" w:name="__Fieldmark__158_371409316"/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fldChar w:fldCharType="begin"/>
            </w:r>
            <w:r/>
            <w:r>
              <w:fldChar w:fldCharType="separate"/>
            </w:r>
            <w:bookmarkStart w:id="37" w:name="__Fieldmark__164_371409316"/>
            <w:bookmarkStart w:id="38" w:name="__Fieldmark__94_518492000"/>
            <w:bookmarkEnd w:id="36"/>
            <w:bookmarkEnd w:id="38"/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bookmarkEnd w:id="37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_Toc470680106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_Toc470680106 \h </w:instrText>
            </w:r>
            <w:r>
              <w:fldChar w:fldCharType="separate"/>
            </w:r>
            <w:r>
              <w:t>20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22"/>
            <w:tabs>
              <w:tab w:val="right" w:pos="9345" w:leader="dot"/>
            </w:tabs>
            <w:spacing w:lineRule="auto" w:line="360" w:before="0" w:after="0"/>
            <w:ind w:left="0" w:hanging="0"/>
            <w:jc w:val="both"/>
            <w:rPr/>
          </w:pPr>
          <w:hyperlink w:anchor="_Toc470680107">
            <w:r>
              <w:rPr>
                <w:webHidden/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  <w:t>3.4</w:t>
            </w:r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  <w:t xml:space="preserve"> Система  сбора и утилизации ТБО</w:t>
            </w:r>
            <w:r>
              <w:fldChar w:fldCharType="begin"/>
            </w:r>
            <w:r/>
            <w:r>
              <w:fldChar w:fldCharType="separate"/>
            </w:r>
            <w:bookmarkStart w:id="39" w:name="__Fieldmark__171_371409316"/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40" w:name="__Fieldmark__177_371409316"/>
            <w:bookmarkStart w:id="41" w:name="__Fieldmark__102_518492000"/>
            <w:bookmarkEnd w:id="39"/>
            <w:bookmarkEnd w:id="41"/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</w:r>
            <w:bookmarkEnd w:id="40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_Toc470680107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_Toc470680107 \h </w:instrText>
            </w:r>
            <w:r>
              <w:fldChar w:fldCharType="separate"/>
            </w:r>
            <w:r>
              <w:t>20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22"/>
            <w:tabs>
              <w:tab w:val="right" w:pos="9345" w:leader="dot"/>
            </w:tabs>
            <w:spacing w:lineRule="auto" w:line="360" w:before="0" w:after="0"/>
            <w:ind w:left="0" w:hanging="0"/>
            <w:jc w:val="both"/>
            <w:rPr/>
          </w:pPr>
          <w:hyperlink w:anchor="_Toc470680108">
            <w:r>
              <w:rPr>
                <w:webHidden/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  <w:t>3.5 Канализация</w:t>
            </w:r>
            <w:r>
              <w:fldChar w:fldCharType="begin"/>
            </w:r>
            <w:r/>
            <w:r>
              <w:fldChar w:fldCharType="separate"/>
            </w:r>
            <w:bookmarkStart w:id="42" w:name="__Fieldmark__183_371409316"/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fldChar w:fldCharType="begin"/>
            </w:r>
            <w:r/>
            <w:r>
              <w:fldChar w:fldCharType="separate"/>
            </w:r>
            <w:bookmarkStart w:id="43" w:name="__Fieldmark__189_371409316"/>
            <w:bookmarkStart w:id="44" w:name="__Fieldmark__109_518492000"/>
            <w:bookmarkEnd w:id="42"/>
            <w:bookmarkEnd w:id="44"/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bookmarkEnd w:id="43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_Toc470680108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_Toc470680108 \h </w:instrText>
            </w:r>
            <w:r>
              <w:fldChar w:fldCharType="separate"/>
            </w:r>
            <w:r>
              <w:t>21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22"/>
            <w:tabs>
              <w:tab w:val="right" w:pos="9345" w:leader="dot"/>
            </w:tabs>
            <w:spacing w:lineRule="auto" w:line="360" w:before="0" w:after="0"/>
            <w:ind w:left="0" w:hanging="0"/>
            <w:jc w:val="both"/>
            <w:rPr/>
          </w:pPr>
          <w:hyperlink w:anchor="_Toc470680109">
            <w:r>
              <w:rPr>
                <w:webHidden/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  <w:t>3.6  Газоснабжение</w:t>
            </w:r>
            <w:r>
              <w:fldChar w:fldCharType="begin"/>
            </w:r>
            <w:r/>
            <w:r>
              <w:fldChar w:fldCharType="separate"/>
            </w:r>
            <w:bookmarkStart w:id="45" w:name="__Fieldmark__195_371409316"/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fldChar w:fldCharType="begin"/>
            </w:r>
            <w:r/>
            <w:r>
              <w:fldChar w:fldCharType="separate"/>
            </w:r>
            <w:bookmarkStart w:id="46" w:name="__Fieldmark__201_371409316"/>
            <w:bookmarkStart w:id="47" w:name="__Fieldmark__116_518492000"/>
            <w:bookmarkEnd w:id="45"/>
            <w:bookmarkEnd w:id="47"/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bookmarkEnd w:id="46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_Toc470680109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_Toc470680109 \h </w:instrText>
            </w:r>
            <w:r>
              <w:fldChar w:fldCharType="separate"/>
            </w:r>
            <w:r>
              <w:t>21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13"/>
            <w:tabs>
              <w:tab w:val="right" w:pos="9345" w:leader="dot"/>
            </w:tabs>
            <w:spacing w:lineRule="auto" w:line="360" w:before="0" w:after="0"/>
            <w:jc w:val="both"/>
            <w:rPr/>
          </w:pPr>
          <w:hyperlink w:anchor="_Toc470680110">
            <w:r>
              <w:rPr>
                <w:webHidden/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  <w:t>4. Характеристика состояния и проблем в реализации энергосбережения, ресурсосбережения и учета сбора информации</w:t>
            </w:r>
            <w:r>
              <w:fldChar w:fldCharType="begin"/>
            </w:r>
            <w:r/>
            <w:r>
              <w:fldChar w:fldCharType="separate"/>
            </w:r>
            <w:bookmarkStart w:id="48" w:name="__Fieldmark__207_371409316"/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fldChar w:fldCharType="begin"/>
            </w:r>
            <w:r/>
            <w:r>
              <w:fldChar w:fldCharType="separate"/>
            </w:r>
            <w:bookmarkStart w:id="49" w:name="__Fieldmark__213_371409316"/>
            <w:bookmarkStart w:id="50" w:name="__Fieldmark__123_518492000"/>
            <w:bookmarkEnd w:id="48"/>
            <w:bookmarkEnd w:id="50"/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bookmarkEnd w:id="49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_Toc470680110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_Toc470680110 \h </w:instrText>
            </w:r>
            <w:r>
              <w:fldChar w:fldCharType="separate"/>
            </w:r>
            <w:r>
              <w:t>22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13"/>
            <w:tabs>
              <w:tab w:val="right" w:pos="9345" w:leader="dot"/>
            </w:tabs>
            <w:spacing w:lineRule="auto" w:line="360" w:before="0" w:after="0"/>
            <w:jc w:val="both"/>
            <w:rPr/>
          </w:pPr>
          <w:hyperlink w:anchor="_Toc470680111">
            <w:r>
              <w:rPr>
                <w:webHidden/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  <w:t>5. Целевые показатели развития коммунальной инфраструктуры</w:t>
            </w:r>
            <w:r>
              <w:fldChar w:fldCharType="begin"/>
            </w:r>
            <w:r/>
            <w:r>
              <w:fldChar w:fldCharType="separate"/>
            </w:r>
            <w:bookmarkStart w:id="51" w:name="__Fieldmark__219_371409316"/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52" w:name="__Fieldmark__225_371409316"/>
            <w:bookmarkStart w:id="53" w:name="__Fieldmark__130_518492000"/>
            <w:bookmarkEnd w:id="51"/>
            <w:bookmarkEnd w:id="53"/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bookmarkEnd w:id="52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_Toc470680111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_Toc470680111 \h </w:instrText>
            </w:r>
            <w:r>
              <w:fldChar w:fldCharType="separate"/>
            </w:r>
            <w:r>
              <w:t>23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22"/>
            <w:tabs>
              <w:tab w:val="right" w:pos="9345" w:leader="dot"/>
            </w:tabs>
            <w:spacing w:lineRule="auto" w:line="360" w:before="0" w:after="0"/>
            <w:ind w:left="0" w:hanging="0"/>
            <w:jc w:val="both"/>
            <w:rPr/>
          </w:pPr>
          <w:hyperlink w:anchor="_Toc470680112">
            <w:r>
              <w:rPr>
                <w:webHidden/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  <w:t>5.1 Показатели качества поставляемого коммунального ресурса</w:t>
            </w:r>
            <w:r>
              <w:fldChar w:fldCharType="begin"/>
            </w:r>
            <w:r/>
            <w:r>
              <w:fldChar w:fldCharType="separate"/>
            </w:r>
            <w:bookmarkStart w:id="54" w:name="__Fieldmark__231_371409316"/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55" w:name="__Fieldmark__237_371409316"/>
            <w:bookmarkStart w:id="56" w:name="__Fieldmark__137_518492000"/>
            <w:bookmarkEnd w:id="54"/>
            <w:bookmarkEnd w:id="56"/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bookmarkEnd w:id="55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_Toc470680112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_Toc470680112 \h </w:instrText>
            </w:r>
            <w:r>
              <w:fldChar w:fldCharType="separate"/>
            </w:r>
            <w:r>
              <w:t>23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22"/>
            <w:tabs>
              <w:tab w:val="right" w:pos="9345" w:leader="dot"/>
            </w:tabs>
            <w:spacing w:lineRule="auto" w:line="360" w:before="0" w:after="0"/>
            <w:ind w:left="0" w:hanging="0"/>
            <w:jc w:val="both"/>
            <w:rPr/>
          </w:pPr>
          <w:hyperlink w:anchor="_Toc470680113">
            <w:r>
              <w:rPr>
                <w:webHidden/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  <w:lang w:eastAsia="ru-RU"/>
              </w:rPr>
              <w:t>5.2. Показатели надежности систем ресурсоснабжения</w:t>
            </w:r>
            <w:r>
              <w:fldChar w:fldCharType="begin"/>
            </w:r>
            <w:r/>
            <w:r>
              <w:fldChar w:fldCharType="separate"/>
            </w:r>
            <w:bookmarkStart w:id="57" w:name="__Fieldmark__243_371409316"/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fldChar w:fldCharType="begin"/>
            </w:r>
            <w:r/>
            <w:r>
              <w:fldChar w:fldCharType="separate"/>
            </w:r>
            <w:bookmarkStart w:id="58" w:name="__Fieldmark__249_371409316"/>
            <w:bookmarkStart w:id="59" w:name="__Fieldmark__144_518492000"/>
            <w:bookmarkEnd w:id="57"/>
            <w:bookmarkEnd w:id="59"/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bookmarkEnd w:id="58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_Toc470680113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  <w:lang w:eastAsia="ru-RU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_Toc470680113 \h </w:instrText>
            </w:r>
            <w:r>
              <w:fldChar w:fldCharType="separate"/>
            </w:r>
            <w:r>
              <w:t>24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13"/>
            <w:tabs>
              <w:tab w:val="right" w:pos="9345" w:leader="dot"/>
            </w:tabs>
            <w:spacing w:lineRule="auto" w:line="360" w:before="0" w:after="0"/>
            <w:jc w:val="both"/>
            <w:rPr/>
          </w:pPr>
          <w:hyperlink w:anchor="_Toc470680114">
            <w:r>
              <w:rPr>
                <w:webHidden/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highlight w:val="white"/>
                <w:lang w:eastAsia="ru-RU"/>
              </w:rPr>
              <w:t xml:space="preserve">6. Перспективная схема развития </w:t>
            </w:r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  <w:t>системы  водоснабжения</w:t>
            </w:r>
            <w:r>
              <w:fldChar w:fldCharType="begin"/>
            </w:r>
            <w:r/>
            <w:r>
              <w:fldChar w:fldCharType="separate"/>
            </w:r>
            <w:bookmarkStart w:id="60" w:name="__Fieldmark__256_371409316"/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61" w:name="__Fieldmark__262_371409316"/>
            <w:bookmarkStart w:id="62" w:name="__Fieldmark__152_518492000"/>
            <w:bookmarkEnd w:id="60"/>
            <w:bookmarkEnd w:id="62"/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</w:r>
            <w:bookmarkEnd w:id="61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_Toc470680114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_Toc470680114 \h </w:instrText>
            </w:r>
            <w:r>
              <w:fldChar w:fldCharType="separate"/>
            </w:r>
            <w:r>
              <w:t>25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13"/>
            <w:tabs>
              <w:tab w:val="right" w:pos="9345" w:leader="dot"/>
            </w:tabs>
            <w:spacing w:lineRule="auto" w:line="360" w:before="0" w:after="0"/>
            <w:jc w:val="both"/>
            <w:rPr/>
          </w:pPr>
          <w:hyperlink w:anchor="_Toc470680115">
            <w:r>
              <w:rPr>
                <w:webHidden/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  <w:t xml:space="preserve">Программа инвестиционных проектов развития </w:t>
            </w:r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  <w:t xml:space="preserve">системы  водоснабжения </w:t>
            </w:r>
            <w:r>
              <w:rPr>
                <w:rStyle w:val="Style16"/>
                <w:rFonts w:eastAsia="Calibri" w:cs="Times New Roman" w:ascii="Times New Roman" w:hAnsi="Times New Roman"/>
                <w:sz w:val="28"/>
                <w:szCs w:val="28"/>
              </w:rPr>
              <w:t xml:space="preserve"> Татарско-Тавлинского  сельского поселения 2017-2027 годы (в ценах 2016)</w:t>
            </w:r>
            <w:r>
              <w:fldChar w:fldCharType="begin"/>
            </w:r>
            <w:r/>
            <w:r>
              <w:fldChar w:fldCharType="separate"/>
            </w:r>
            <w:bookmarkStart w:id="63" w:name="__Fieldmark__270_371409316"/>
            <w:r>
              <w:rPr>
                <w:rStyle w:val="Style16"/>
                <w:rFonts w:eastAsia="Calibri" w:cs="Times New Roman" w:ascii="Times New Roman" w:hAnsi="Times New Roman"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64" w:name="__Fieldmark__276_371409316"/>
            <w:bookmarkStart w:id="65" w:name="__Fieldmark__161_518492000"/>
            <w:bookmarkEnd w:id="63"/>
            <w:bookmarkEnd w:id="65"/>
            <w:r>
              <w:rPr>
                <w:rStyle w:val="Style16"/>
                <w:rFonts w:eastAsia="Calibri" w:cs="Times New Roman" w:ascii="Times New Roman" w:hAnsi="Times New Roman"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sz w:val="28"/>
                <w:szCs w:val="28"/>
              </w:rPr>
            </w:r>
            <w:bookmarkEnd w:id="64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_Toc470680115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Calibri" w:cs="Times New Roman" w:ascii="Times New Roman" w:hAnsi="Times New Roman"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_Toc470680115 \h </w:instrText>
            </w:r>
            <w:r>
              <w:fldChar w:fldCharType="separate"/>
            </w:r>
            <w:r>
              <w:t>26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22"/>
            <w:tabs>
              <w:tab w:val="right" w:pos="9345" w:leader="dot"/>
            </w:tabs>
            <w:spacing w:lineRule="auto" w:line="360" w:before="0" w:after="0"/>
            <w:ind w:left="0" w:hanging="0"/>
            <w:jc w:val="both"/>
            <w:rPr/>
          </w:pPr>
          <w:hyperlink w:anchor="_Toc470680116">
            <w:r>
              <w:rPr>
                <w:webHidden/>
                <w:rStyle w:val="Style16"/>
                <w:rFonts w:cs="Times New Roman" w:ascii="Times New Roman" w:hAnsi="Times New Roman"/>
                <w:vanish/>
                <w:sz w:val="28"/>
                <w:szCs w:val="28"/>
              </w:rPr>
              <w:t>7.</w:t>
            </w:r>
            <w:r>
              <w:rPr>
                <w:rStyle w:val="Style16"/>
                <w:rFonts w:eastAsia="Times New Roman" w:cs="Times New Roman" w:ascii="Times New Roman" w:hAnsi="Times New Roman"/>
                <w:sz w:val="28"/>
                <w:szCs w:val="28"/>
                <w:highlight w:val="white"/>
                <w:lang w:eastAsia="ru-RU"/>
              </w:rPr>
              <w:t xml:space="preserve"> Перспективная схема</w:t>
            </w:r>
            <w:r>
              <w:rPr>
                <w:rStyle w:val="Style16"/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  <w:t xml:space="preserve">  сбора и утилизации ТБО</w:t>
            </w:r>
            <w:r>
              <w:fldChar w:fldCharType="begin"/>
            </w:r>
            <w:r/>
            <w:r>
              <w:fldChar w:fldCharType="separate"/>
            </w:r>
            <w:bookmarkStart w:id="66" w:name="__Fieldmark__285_371409316"/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67" w:name="__Fieldmark__291_371409316"/>
            <w:bookmarkStart w:id="68" w:name="__Fieldmark__171_518492000"/>
            <w:bookmarkEnd w:id="66"/>
            <w:bookmarkEnd w:id="68"/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</w:r>
            <w:bookmarkEnd w:id="67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_Toc470680116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Calibri" w:cs="Times New Roman" w:ascii="Times New Roman" w:hAnsi="Times New Roman"/>
                <w:spacing w:val="0"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_Toc470680116 \h </w:instrText>
            </w:r>
            <w:r>
              <w:fldChar w:fldCharType="separate"/>
            </w:r>
            <w:r>
              <w:t>26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13"/>
            <w:tabs>
              <w:tab w:val="right" w:pos="9345" w:leader="dot"/>
            </w:tabs>
            <w:spacing w:lineRule="auto" w:line="360" w:before="0" w:after="0"/>
            <w:jc w:val="both"/>
            <w:rPr/>
          </w:pPr>
          <w:hyperlink w:anchor="_Toc470680117">
            <w:r>
              <w:rPr>
                <w:webHidden/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  <w:t>8. Общая программа проектов</w:t>
            </w:r>
            <w:r>
              <w:fldChar w:fldCharType="begin"/>
            </w:r>
            <w:r/>
            <w:r>
              <w:fldChar w:fldCharType="separate"/>
            </w:r>
            <w:bookmarkStart w:id="69" w:name="__Fieldmark__297_371409316"/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70" w:name="__Fieldmark__303_371409316"/>
            <w:bookmarkStart w:id="71" w:name="__Fieldmark__178_518492000"/>
            <w:bookmarkEnd w:id="69"/>
            <w:bookmarkEnd w:id="71"/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bookmarkEnd w:id="70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_Toc470680117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_Toc470680117 \h </w:instrText>
            </w:r>
            <w:r>
              <w:fldChar w:fldCharType="separate"/>
            </w:r>
            <w:r>
              <w:t>28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13"/>
            <w:tabs>
              <w:tab w:val="right" w:pos="9345" w:leader="dot"/>
            </w:tabs>
            <w:spacing w:lineRule="auto" w:line="360" w:before="0" w:after="0"/>
            <w:jc w:val="both"/>
            <w:rPr/>
          </w:pPr>
          <w:hyperlink w:anchor="_Toc470680142">
            <w:r>
              <w:rPr>
                <w:webHidden/>
                <w:rStyle w:val="Style16"/>
                <w:rFonts w:eastAsia="Times New Roman" w:cs="Times New Roman" w:ascii="Times New Roman" w:hAnsi="Times New Roman"/>
                <w:vanish/>
                <w:sz w:val="28"/>
                <w:szCs w:val="28"/>
                <w:lang w:eastAsia="ru-RU"/>
              </w:rPr>
              <w:t xml:space="preserve">9. </w:t>
            </w:r>
            <w:r>
              <w:rPr>
                <w:rStyle w:val="Style16"/>
                <w:rFonts w:eastAsia="Calibri" w:cs="Times New Roman" w:ascii="Times New Roman" w:hAnsi="Times New Roman"/>
                <w:sz w:val="28"/>
                <w:szCs w:val="28"/>
                <w:lang w:eastAsia="ru-RU"/>
              </w:rPr>
              <w:t>Финансовые потребности для реализации программы</w:t>
            </w:r>
            <w:r>
              <w:fldChar w:fldCharType="begin"/>
            </w:r>
            <w:r/>
            <w:r>
              <w:fldChar w:fldCharType="separate"/>
            </w:r>
            <w:bookmarkStart w:id="72" w:name="__Fieldmark__310_371409316"/>
            <w:r>
              <w:rPr>
                <w:rStyle w:val="Style16"/>
                <w:rFonts w:eastAsia="Calibri" w:cs="Times New Roman" w:ascii="Times New Roman" w:hAnsi="Times New Roman"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Calibri" w:cs="Times New Roman" w:ascii="Times New Roman" w:hAnsi="Times New Roman"/>
                <w:sz w:val="28"/>
                <w:szCs w:val="28"/>
                <w:lang w:eastAsia="ru-RU"/>
              </w:rPr>
            </w:r>
            <w:r>
              <w:fldChar w:fldCharType="begin"/>
            </w:r>
            <w:r/>
            <w:r>
              <w:fldChar w:fldCharType="separate"/>
            </w:r>
            <w:bookmarkStart w:id="73" w:name="__Fieldmark__316_371409316"/>
            <w:bookmarkStart w:id="74" w:name="__Fieldmark__186_518492000"/>
            <w:bookmarkEnd w:id="72"/>
            <w:bookmarkEnd w:id="74"/>
            <w:r>
              <w:rPr>
                <w:rStyle w:val="Style16"/>
                <w:rFonts w:eastAsia="Calibri" w:cs="Times New Roman" w:ascii="Times New Roman" w:hAnsi="Times New Roman"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Calibri" w:cs="Times New Roman" w:ascii="Times New Roman" w:hAnsi="Times New Roman"/>
                <w:sz w:val="28"/>
                <w:szCs w:val="28"/>
                <w:lang w:eastAsia="ru-RU"/>
              </w:rPr>
            </w:r>
            <w:bookmarkEnd w:id="73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_Toc470680142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Calibri" w:cs="Times New Roman" w:ascii="Times New Roman" w:hAnsi="Times New Roman"/>
                <w:sz w:val="28"/>
                <w:szCs w:val="28"/>
                <w:lang w:eastAsia="ru-RU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_Toc470680142 \h </w:instrText>
            </w:r>
            <w:r>
              <w:fldChar w:fldCharType="separate"/>
            </w:r>
            <w:r>
              <w:t>30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13"/>
            <w:tabs>
              <w:tab w:val="right" w:pos="9345" w:leader="dot"/>
            </w:tabs>
            <w:spacing w:lineRule="auto" w:line="360" w:before="0" w:after="0"/>
            <w:jc w:val="both"/>
            <w:rPr/>
          </w:pPr>
          <w:hyperlink w:anchor="_Toc470680155">
            <w:r>
              <w:rPr>
                <w:webHidden/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  <w:lang w:eastAsia="ru-RU"/>
              </w:rPr>
              <w:t>10. Организация реализации проектов</w:t>
            </w:r>
            <w:r>
              <w:fldChar w:fldCharType="begin"/>
            </w:r>
            <w:r/>
            <w:r>
              <w:fldChar w:fldCharType="separate"/>
            </w:r>
            <w:bookmarkStart w:id="75" w:name="__Fieldmark__322_371409316"/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fldChar w:fldCharType="begin"/>
            </w:r>
            <w:r/>
            <w:r>
              <w:fldChar w:fldCharType="separate"/>
            </w:r>
            <w:bookmarkStart w:id="76" w:name="__Fieldmark__328_371409316"/>
            <w:bookmarkStart w:id="77" w:name="__Fieldmark__193_518492000"/>
            <w:bookmarkEnd w:id="75"/>
            <w:bookmarkEnd w:id="77"/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  <w:lang w:eastAsia="ru-RU"/>
              </w:rPr>
            </w:r>
            <w:bookmarkEnd w:id="76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_Toc470680155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  <w:lang w:eastAsia="ru-RU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_Toc470680155 \h </w:instrText>
            </w:r>
            <w:r>
              <w:fldChar w:fldCharType="separate"/>
            </w:r>
            <w:r>
              <w:t>31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13"/>
            <w:tabs>
              <w:tab w:val="right" w:pos="9345" w:leader="dot"/>
            </w:tabs>
            <w:spacing w:lineRule="auto" w:line="360" w:before="0" w:after="0"/>
            <w:jc w:val="both"/>
            <w:rPr/>
          </w:pPr>
          <w:hyperlink w:anchor="_Toc470680157">
            <w:r>
              <w:rPr>
                <w:webHidden/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  <w:t>11. Программы инвестиционных проектов, тариф и плата за подключение (присоединение)</w:t>
            </w:r>
            <w:r>
              <w:fldChar w:fldCharType="begin"/>
            </w:r>
            <w:r/>
            <w:r>
              <w:fldChar w:fldCharType="separate"/>
            </w:r>
            <w:bookmarkStart w:id="78" w:name="__Fieldmark__334_371409316"/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79" w:name="__Fieldmark__340_371409316"/>
            <w:bookmarkStart w:id="80" w:name="__Fieldmark__200_518492000"/>
            <w:bookmarkEnd w:id="78"/>
            <w:bookmarkEnd w:id="80"/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bookmarkEnd w:id="79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_Toc470680157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_Toc470680157 \h </w:instrText>
            </w:r>
            <w:r>
              <w:fldChar w:fldCharType="separate"/>
            </w:r>
            <w:r>
              <w:t>32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13"/>
            <w:tabs>
              <w:tab w:val="right" w:pos="9345" w:leader="dot"/>
            </w:tabs>
            <w:spacing w:lineRule="auto" w:line="360" w:before="0" w:after="0"/>
            <w:jc w:val="both"/>
            <w:rPr/>
          </w:pPr>
          <w:hyperlink w:anchor="_Toc470680158">
            <w:r>
              <w:rPr>
                <w:webHidden/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  <w:t>12. Прогноз расходов населения на коммунальные ресурсы, расходов бюджета на социальную поддержку и субсидии, проверка доступности тарифов на коммунальные услуги</w:t>
            </w:r>
            <w:r>
              <w:fldChar w:fldCharType="begin"/>
            </w:r>
            <w:r/>
            <w:r>
              <w:fldChar w:fldCharType="separate"/>
            </w:r>
            <w:bookmarkStart w:id="81" w:name="__Fieldmark__346_371409316"/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r>
              <w:fldChar w:fldCharType="begin"/>
            </w:r>
            <w:r/>
            <w:r>
              <w:fldChar w:fldCharType="separate"/>
            </w:r>
            <w:bookmarkStart w:id="82" w:name="__Fieldmark__352_371409316"/>
            <w:bookmarkStart w:id="83" w:name="__Fieldmark__207_518492000"/>
            <w:bookmarkEnd w:id="81"/>
            <w:bookmarkEnd w:id="83"/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</w:r>
            <w:bookmarkEnd w:id="82"/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_Toc470680158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rFonts w:eastAsia="Calibri" w:cs="Times New Roman" w:ascii="Times New Roman" w:hAnsi="Times New Roman"/>
                <w:vanish/>
                <w:sz w:val="28"/>
                <w:szCs w:val="28"/>
              </w:rPr>
              <w:fldChar w:fldCharType="begin"/>
            </w:r>
            <w:r>
              <w:rPr>
                <w:webHidden/>
              </w:rPr>
              <w:fldChar w:fldCharType="end"/>
            </w:r>
            <w:r>
              <w:instrText> PAGEREF _Toc470680158 \h </w:instrText>
            </w:r>
            <w:r>
              <w:fldChar w:fldCharType="separate"/>
            </w:r>
            <w:r>
              <w:t>33</w:t>
            </w:r>
            <w:r>
              <w:fldChar w:fldCharType="end"/>
            </w:r>
            <w:r>
              <w:fldChar w:fldCharType="end"/>
            </w:r>
          </w:hyperlink>
          <w:r>
            <w:fldChar w:fldCharType="end"/>
          </w:r>
        </w:p>
        <w:p>
          <w:pPr>
            <w:pStyle w:val="Normal"/>
            <w:spacing w:lineRule="auto" w:line="360" w:before="0" w:after="0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eastAsia="Times New Roman" w:cs="Times New Roman" w:ascii="Times New Roman" w:hAnsi="Times New Roman"/>
              <w:sz w:val="28"/>
              <w:szCs w:val="28"/>
              <w:lang w:eastAsia="ru-RU"/>
            </w:rPr>
            <w:t xml:space="preserve">Приложение </w:t>
          </w:r>
        </w:p>
        <w:p>
          <w:pPr>
            <w:pStyle w:val="Normal"/>
            <w:overflowPunct w:val="false"/>
            <w:spacing w:lineRule="auto" w:line="360" w:before="0" w:after="0"/>
            <w:jc w:val="both"/>
            <w:textAlignment w:val="baseline"/>
            <w:rPr>
              <w:rFonts w:ascii="Times New Roman" w:hAnsi="Times New Roman" w:eastAsia="Times New Roman" w:cs="Times New Roman"/>
              <w:sz w:val="28"/>
              <w:szCs w:val="28"/>
              <w:lang w:eastAsia="ru-RU"/>
            </w:rPr>
          </w:pPr>
          <w:r>
            <w:rPr>
              <w:rFonts w:eastAsia="Times New Roman" w:cs="Times New Roman" w:ascii="Times New Roman" w:hAnsi="Times New Roman"/>
              <w:sz w:val="28"/>
              <w:szCs w:val="28"/>
              <w:lang w:eastAsia="ru-RU"/>
            </w:rPr>
            <w:t>Схема водоснабжения с. Татарская Тавла Лямбирского района</w:t>
          </w:r>
        </w:p>
        <w:p>
          <w:pPr>
            <w:pStyle w:val="Normal"/>
            <w:overflowPunct w:val="false"/>
            <w:spacing w:lineRule="auto" w:line="360" w:before="0" w:after="0"/>
            <w:jc w:val="both"/>
            <w:textAlignment w:val="baseline"/>
            <w:rPr>
              <w:rFonts w:ascii="Times New Roman" w:hAnsi="Times New Roman" w:eastAsia="Times New Roman" w:cs="Times New Roman"/>
              <w:sz w:val="28"/>
              <w:szCs w:val="28"/>
              <w:lang w:eastAsia="ru-RU"/>
            </w:rPr>
          </w:pPr>
          <w:r>
            <w:rPr>
              <w:rFonts w:eastAsia="Times New Roman" w:cs="Times New Roman" w:ascii="Times New Roman" w:hAnsi="Times New Roman"/>
              <w:sz w:val="28"/>
              <w:szCs w:val="28"/>
              <w:lang w:eastAsia="ru-RU"/>
            </w:rPr>
            <w:t>Схема газоснабжения с. Татарская Тавла Лямбирского района</w:t>
          </w:r>
        </w:p>
        <w:p>
          <w:pPr>
            <w:pStyle w:val="Normal"/>
            <w:overflowPunct w:val="false"/>
            <w:spacing w:lineRule="auto" w:line="360" w:before="0" w:after="0"/>
            <w:jc w:val="both"/>
            <w:textAlignment w:val="baseline"/>
            <w:rPr>
              <w:rFonts w:ascii="Times New Roman" w:hAnsi="Times New Roman" w:eastAsia="Times New Roman" w:cs="Times New Roman"/>
              <w:sz w:val="28"/>
              <w:szCs w:val="28"/>
              <w:lang w:eastAsia="ru-RU"/>
            </w:rPr>
          </w:pPr>
          <w:r>
            <w:rPr>
              <w:rFonts w:eastAsia="Times New Roman" w:cs="Times New Roman" w:ascii="Times New Roman" w:hAnsi="Times New Roman"/>
              <w:sz w:val="28"/>
              <w:szCs w:val="28"/>
              <w:lang w:eastAsia="ru-RU"/>
            </w:rPr>
            <w:t>Схема линий электропередач с. Татарская Тавла Лямбирского района</w:t>
          </w:r>
        </w:p>
        <w:p>
          <w:pPr>
            <w:pStyle w:val="Normal"/>
            <w:spacing w:lineRule="auto" w:line="360" w:before="0" w:after="0"/>
            <w:jc w:val="both"/>
            <w:rPr/>
          </w:pPr>
          <w:r>
            <w:rPr/>
          </w:r>
        </w:p>
      </w:sdtContent>
    </w:sdt>
    <w:p>
      <w:pPr>
        <w:pStyle w:val="Normal"/>
        <w:overflowPunct w:val="false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  <w:r>
        <w:br w:type="page"/>
      </w:r>
    </w:p>
    <w:p>
      <w:pPr>
        <w:pStyle w:val="1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 w:themeColor="text1"/>
        </w:rPr>
      </w:pPr>
      <w:bookmarkStart w:id="84" w:name="_Toc470680093"/>
      <w:bookmarkEnd w:id="84"/>
      <w:r>
        <w:rPr>
          <w:rFonts w:cs="Times New Roman" w:ascii="Times New Roman" w:hAnsi="Times New Roman"/>
          <w:color w:val="000000" w:themeColor="text1"/>
        </w:rPr>
        <w:t>1. Перспективные показатели развития Татарско-Тавлинского  сельского поселения для разработки программы</w:t>
      </w:r>
    </w:p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5" w:name="_Toc470680094"/>
      <w:bookmarkEnd w:id="85"/>
      <w:r>
        <w:rPr>
          <w:rFonts w:cs="Times New Roman" w:ascii="Times New Roman" w:hAnsi="Times New Roman"/>
          <w:color w:val="000000" w:themeColor="text1"/>
          <w:sz w:val="28"/>
          <w:szCs w:val="28"/>
        </w:rPr>
        <w:t>1.1 Характеристика сельского поселения</w:t>
      </w:r>
    </w:p>
    <w:p>
      <w:pPr>
        <w:pStyle w:val="Normal"/>
        <w:overflowPunct w:val="false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Татарская Тавла – село. Бывший колхоз им. Чапаева, расположенный в юго-восточной части Лямбирского района, в 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  <w:lang w:eastAsia="ru-RU"/>
        </w:rPr>
        <w:t>10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км от районного центра – с. Лямбирь. 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000000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Татарско-Тавлинское сельское поселение является административно-хозяйственной единицей Лямбирского района Республики Мордовия с административным центром в поселке сельского  типа Татарская Тавла</w:t>
      </w:r>
      <w:r>
        <w:rPr>
          <w:rFonts w:eastAsia="Times New Roman" w:cs="Times New Roman" w:ascii="Times New Roman" w:hAnsi="Times New Roman"/>
          <w:color w:val="000000"/>
          <w:sz w:val="28"/>
          <w:szCs w:val="20"/>
          <w:lang w:eastAsia="ru-RU"/>
        </w:rPr>
        <w:t>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В состав Татарско-Тавлинского сельского поселения входит с. Татарская Тавла.</w:t>
      </w:r>
    </w:p>
    <w:p>
      <w:pPr>
        <w:pStyle w:val="Normal"/>
        <w:tabs>
          <w:tab w:val="left" w:pos="3780" w:leader="none"/>
        </w:tabs>
        <w:overflowPunct w:val="false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 xml:space="preserve">Татарско-Тавлинское сельское  поселение расположено в юго-восточной части Лямбирского района, занимает территорию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1854 га</w:t>
      </w: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.</w:t>
      </w:r>
      <w:r>
        <w:rPr>
          <w:rFonts w:eastAsia="Times New Roman" w:cs="Times New Roman" w:ascii="Times New Roman" w:hAnsi="Times New Roman"/>
          <w:color w:val="FF0000"/>
          <w:sz w:val="28"/>
          <w:szCs w:val="20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0"/>
          <w:lang w:eastAsia="ru-RU"/>
        </w:rPr>
        <w:t>Протяженность территории сельского поселения с севера на юг – 5,15 км, с запада на восток 4,125 км.</w:t>
      </w: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 xml:space="preserve"> Центральная усадьба – с. Татарская Тавла  расположен на расстоянии </w:t>
      </w:r>
      <w:r>
        <w:rPr>
          <w:rFonts w:eastAsia="Times New Roman" w:cs="Times New Roman" w:ascii="Times New Roman" w:hAnsi="Times New Roman"/>
          <w:color w:val="000000"/>
          <w:sz w:val="28"/>
          <w:szCs w:val="20"/>
          <w:lang w:eastAsia="ru-RU"/>
        </w:rPr>
        <w:t>14 км</w:t>
      </w: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 xml:space="preserve"> от г.Саранск,  граничит с городским округом Саранск, </w:t>
      </w:r>
      <w:r>
        <w:rPr>
          <w:rFonts w:eastAsia="Times New Roman" w:cs="Times New Roman" w:ascii="Times New Roman" w:hAnsi="Times New Roman"/>
          <w:sz w:val="28"/>
          <w:szCs w:val="20"/>
          <w:highlight w:val="yellow"/>
          <w:lang w:eastAsia="ru-RU"/>
        </w:rPr>
        <w:t>Большеелховским</w:t>
      </w: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 xml:space="preserve"> сельским поселением, Аксеновским сельским поселением.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Границы Татарско-Тавлинского сельского поселения установлены в соответствии с Законом Республики Мордовия от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28.12.2004 г</w:t>
      </w:r>
      <w:r>
        <w:rPr>
          <w:rFonts w:eastAsia="Times New Roman" w:cs="Times New Roman" w:ascii="Times New Roman" w:hAnsi="Times New Roman"/>
          <w:color w:val="FF0000"/>
          <w:sz w:val="28"/>
          <w:szCs w:val="28"/>
          <w:lang w:eastAsia="ru-RU"/>
        </w:rPr>
        <w:t xml:space="preserve">.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«Об установлении границ муниципальных образований Лямбирского района, муниципального образования Лямбирский район и наделения их статусом  сельского  поселения и муниципального района» и схемой территориального планирования района.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Численность населения, по данным администрации Татарско-Тавлинского сельского поселения  составляет 795</w:t>
      </w:r>
      <w:r>
        <w:rPr>
          <w:rFonts w:eastAsia="Times New Roman" w:cs="Times New Roman" w:ascii="Times New Roman" w:hAnsi="Times New Roman"/>
          <w:color w:val="FF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чел. (2016 г).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Основное распределение земельного фонда Татарско-Тавлинского сельского поселения приходится на земли сельскохозяйственного назначения.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 xml:space="preserve">Территория поселения по природным условиям относится к  агроклиматическому району. 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 xml:space="preserve">Через с. Татарская Тавла проходит дорога республиканского значения «Саранск-Большие Березники». 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Так же в поселении имеется ряд  местных дорог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. </w:t>
      </w: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В поселении имеются необходимые условия для дальнейшего развития экономики и социальной сферы.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Объекты социального значения: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-администрация;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-</w:t>
      </w:r>
      <w:r>
        <w:rPr>
          <w:rFonts w:eastAsia="Times New Roman" w:cs="Times New Roman" w:ascii="Times New Roman" w:hAnsi="Times New Roman"/>
          <w:sz w:val="28"/>
          <w:szCs w:val="20"/>
          <w:highlight w:val="yellow"/>
          <w:lang w:eastAsia="ru-RU"/>
        </w:rPr>
        <w:t>средняя школа ;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-ФАП ;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-почта;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- сельский клуб;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-библиотека;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-магазины;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-мечеть;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</w:r>
    </w:p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6" w:name="_Toc470680095"/>
      <w:r>
        <w:rPr>
          <w:rFonts w:cs="Times New Roman" w:ascii="Times New Roman" w:hAnsi="Times New Roman"/>
          <w:b w:val="false"/>
          <w:color w:val="000000" w:themeColor="text1"/>
          <w:sz w:val="28"/>
          <w:szCs w:val="28"/>
        </w:rPr>
        <w:t xml:space="preserve">1.1.1 </w:t>
      </w:r>
      <w:bookmarkEnd w:id="86"/>
      <w:r>
        <w:rPr>
          <w:rFonts w:cs="Times New Roman" w:ascii="Times New Roman" w:hAnsi="Times New Roman"/>
          <w:color w:val="000000" w:themeColor="text1"/>
          <w:sz w:val="28"/>
          <w:szCs w:val="28"/>
        </w:rPr>
        <w:t>Социальное обслуживание населения</w:t>
      </w:r>
    </w:p>
    <w:p>
      <w:pPr>
        <w:pStyle w:val="ListParagraph"/>
        <w:spacing w:before="0" w:after="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 учреждениям и предприятиям социальной инфраструктуры относятся учреждения образования, здравоохранения, социального обеспечения, спортивные и физкультурно-оздоровительные учреждения, учреждения культуры и искусства, предприятия торговли, общественного питания и бытового обслуживания, организации и учреждения управления, проектные организации, кредитно-финансовые учреждения и предприятия связи, научные и административные организации и другие учреждения и предприятия обслуживания.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Наличие и разнообразие объектов обслуживания, их пространственная, социальная и экономическая доступность, являются важными показателями качества жизни населения.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Таблица 1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Объекты социального и культурно-бытового обслуживания населения </w:t>
      </w:r>
    </w:p>
    <w:tbl>
      <w:tblPr>
        <w:tblStyle w:val="a5"/>
        <w:tblW w:w="9571" w:type="dxa"/>
        <w:jc w:val="left"/>
        <w:tblInd w:w="-15" w:type="dxa"/>
        <w:tblCellMar>
          <w:top w:w="0" w:type="dxa"/>
          <w:left w:w="9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84"/>
        <w:gridCol w:w="1894"/>
        <w:gridCol w:w="3193"/>
      </w:tblGrid>
      <w:tr>
        <w:trPr/>
        <w:tc>
          <w:tcPr>
            <w:tcW w:w="4484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учреждений и предприятия обслуживания</w:t>
            </w:r>
          </w:p>
        </w:tc>
        <w:tc>
          <w:tcPr>
            <w:tcW w:w="1894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19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>
        <w:trPr/>
        <w:tc>
          <w:tcPr>
            <w:tcW w:w="4484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Основная школа</w:t>
            </w:r>
          </w:p>
        </w:tc>
        <w:tc>
          <w:tcPr>
            <w:tcW w:w="1894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Шт/мест</w:t>
            </w:r>
          </w:p>
        </w:tc>
        <w:tc>
          <w:tcPr>
            <w:tcW w:w="319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cstheme="minorBidi" w:eastAsiaTheme="minorHAnsi"/>
                <w:sz w:val="24"/>
                <w:szCs w:val="24"/>
                <w:highlight w:val="yellow"/>
              </w:rPr>
              <w:t>1/120</w:t>
            </w:r>
          </w:p>
        </w:tc>
      </w:tr>
      <w:tr>
        <w:trPr/>
        <w:tc>
          <w:tcPr>
            <w:tcW w:w="4484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Отделение почтовой связи</w:t>
            </w:r>
          </w:p>
        </w:tc>
        <w:tc>
          <w:tcPr>
            <w:tcW w:w="1894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319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4484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Учреждения культурно-досугового типа</w:t>
            </w:r>
          </w:p>
        </w:tc>
        <w:tc>
          <w:tcPr>
            <w:tcW w:w="1894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Шт./мест</w:t>
            </w:r>
          </w:p>
        </w:tc>
        <w:tc>
          <w:tcPr>
            <w:tcW w:w="319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4484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Фельдшерско-акушерский пункт</w:t>
            </w:r>
          </w:p>
        </w:tc>
        <w:tc>
          <w:tcPr>
            <w:tcW w:w="1894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319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4484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Торговые точки</w:t>
            </w:r>
          </w:p>
        </w:tc>
        <w:tc>
          <w:tcPr>
            <w:tcW w:w="1894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319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cstheme="minorBidi" w:eastAsiaTheme="minorHAnsi"/>
                <w:sz w:val="24"/>
                <w:szCs w:val="24"/>
                <w:highlight w:val="yellow"/>
              </w:rPr>
              <w:t>7</w:t>
            </w:r>
          </w:p>
        </w:tc>
      </w:tr>
      <w:tr>
        <w:trPr/>
        <w:tc>
          <w:tcPr>
            <w:tcW w:w="4484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Спортивное сооружение</w:t>
            </w:r>
          </w:p>
        </w:tc>
        <w:tc>
          <w:tcPr>
            <w:tcW w:w="1894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3193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>
      <w:pPr>
        <w:pStyle w:val="Normal"/>
        <w:spacing w:lineRule="auto" w:line="360" w:before="0" w:after="0"/>
        <w:ind w:firstLine="709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сегодняшний день в Татарско-Тавлинском сельском поселении функционирует </w:t>
      </w:r>
      <w:r>
        <w:rPr>
          <w:rFonts w:cs="Times New Roman" w:ascii="Times New Roman" w:hAnsi="Times New Roman"/>
          <w:sz w:val="28"/>
          <w:szCs w:val="28"/>
          <w:highlight w:val="yellow"/>
        </w:rPr>
        <w:t>1 общеобразовательная 11-ти летняя школа на 150 мест</w:t>
      </w:r>
      <w:r>
        <w:rPr>
          <w:rFonts w:cs="Times New Roman" w:ascii="Times New Roman" w:hAnsi="Times New Roman"/>
          <w:sz w:val="28"/>
          <w:szCs w:val="28"/>
        </w:rPr>
        <w:t>, расположенная в центре села Татарская Тавла.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Степень загрузки составляет 40% от возможного.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Медицинское обслуживание населения Татарско-Тавлинского сельского поселения осуществляется фельдшерско-акушерским пунктом (ФАП). Обслуживание населения производится 1 медицинским работником. В с. Татарская Тавла есть аптечный пункт.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поселении существует 1 отделение связи, которое находится в здании Администрации Татарско-Тавлинского сельского поселения по ул. Школьная.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территории Татарско-Тавлинского сельского поселения действует </w:t>
      </w:r>
      <w:r>
        <w:rPr>
          <w:rFonts w:cs="Times New Roman" w:ascii="Times New Roman" w:hAnsi="Times New Roman"/>
          <w:sz w:val="28"/>
          <w:szCs w:val="28"/>
          <w:highlight w:val="yellow"/>
        </w:rPr>
        <w:t>Муниципальное бюджетное учреждение культуры «Татарско-Тавлинский культурно-досуговый центр», в которое входит «Татарско-Тавлинский сельский клуб».</w:t>
      </w:r>
      <w:r>
        <w:rPr>
          <w:rFonts w:cs="Times New Roman" w:ascii="Times New Roman" w:hAnsi="Times New Roman"/>
          <w:sz w:val="28"/>
          <w:szCs w:val="28"/>
        </w:rPr>
        <w:t xml:space="preserve"> Так же есть сельская библиотека, в которой работает 1 чел. </w:t>
      </w:r>
    </w:p>
    <w:p>
      <w:pPr>
        <w:pStyle w:val="2"/>
        <w:spacing w:lineRule="auto" w:line="360" w:before="0" w:after="0"/>
        <w:ind w:firstLine="709"/>
        <w:jc w:val="both"/>
        <w:rPr/>
      </w:pPr>
      <w:r>
        <w:rPr/>
      </w:r>
    </w:p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7" w:name="_Toc470680096"/>
      <w:r>
        <w:rPr>
          <w:rFonts w:cs="Times New Roman" w:ascii="Times New Roman" w:hAnsi="Times New Roman"/>
          <w:color w:val="000000" w:themeColor="text1"/>
          <w:sz w:val="28"/>
          <w:szCs w:val="28"/>
        </w:rPr>
        <w:t>1.1.2 Экономика и производство</w:t>
      </w:r>
      <w:bookmarkEnd w:id="87"/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</w:t>
      </w:r>
    </w:p>
    <w:p>
      <w:pPr>
        <w:pStyle w:val="Normal"/>
        <w:spacing w:lineRule="auto" w:line="360" w:before="0" w:after="0"/>
        <w:ind w:firstLine="709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Под экономической базой поселения понимается совокупность объектов, обеспечивающих местами приложения труда его жителей и являющихся, как правило, источниками доходов местного бюджета.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территории поселения основной сферой деятельности является сельское хозяйство. </w:t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</w:rPr>
        <w:t>Лямбирский район согласно интегральной оценке уровня социально-экономического развития районов Республики Мордовия на 2016 год классифицирован как среднеразвитая аграрно-промышленная территория. Развитие аграрно-промышленного комплекса определила природно-климатические условия.</w:t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</w:rPr>
        <w:t>Площадь Татарско-Тавлинского сельского поселения  составляет 1854 га.</w:t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</w:rPr>
        <w:t>На территории поселения действует частное сельскохозяйственное предприятие:</w:t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</w:rPr>
        <w:t>-КФХ «Мухаев К.Я.»;</w:t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</w:rPr>
        <w:t xml:space="preserve">Основной вид приложения труда населения – личное подсобное  хозяйство, а так же выезжают на работу в Саранск. </w:t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</w:rPr>
        <w:t>Занятость трудоспособного населения:</w:t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</w:rPr>
        <w:t xml:space="preserve">Личное подсобное хозяйство </w:t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</w:rPr>
        <w:t xml:space="preserve">Агропромышленный комплекс </w:t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</w:rPr>
        <w:t xml:space="preserve">Социальная сфера </w:t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</w:rPr>
        <w:t>Средняя заработная плата по Татарско-Тавлинскому сельскому поселению за 2016 год   -  6500   рублей.  Низкая доля занятого населения трудоспособного возраста в Татарско-Тавлинском поселении говорит о недостаточном развитии агропромышленного комплекса в данном регионе.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настоящее время на территории </w:t>
      </w:r>
      <w:r>
        <w:rPr>
          <w:rFonts w:cs="Times New Roman" w:ascii="Times New Roman" w:hAnsi="Times New Roman"/>
          <w:sz w:val="28"/>
          <w:szCs w:val="28"/>
          <w:highlight w:val="yellow"/>
        </w:rPr>
        <w:t>Кривозерьевского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наибольшее развитие получил малый бизнес в сфере розничной торговли. Предприниматели осуществляют преимущественно продажу пищевых продуктов, включая напитки и табачные изделия. Следует отметить, что торговля в данном секторе становится более цивилизованной, что положительно сказывается на покупателях (скидки, качество, ассортимент).</w:t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</w:rPr>
        <w:t xml:space="preserve">В настоящее время в Татарско-Тавлинском сельском поселении работает </w:t>
      </w:r>
      <w:r>
        <w:rPr>
          <w:rFonts w:cs="" w:ascii="Times New Roman" w:hAnsi="Times New Roman" w:cstheme="minorBidi"/>
          <w:sz w:val="28"/>
          <w:szCs w:val="28"/>
        </w:rPr>
        <w:t>2 магазина продовольственных и хозяйственных товаров. Предприятия</w:t>
      </w:r>
      <w:r>
        <w:rPr>
          <w:rFonts w:ascii="Times New Roman" w:hAnsi="Times New Roman"/>
          <w:sz w:val="28"/>
          <w:szCs w:val="28"/>
        </w:rPr>
        <w:t xml:space="preserve"> общественного питания отсутствуют. 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0"/>
          <w:lang w:eastAsia="ru-RU"/>
        </w:rPr>
      </w:pPr>
      <w:bookmarkStart w:id="88" w:name="_Toc470680097"/>
      <w:bookmarkEnd w:id="88"/>
      <w:r>
        <w:rPr>
          <w:rFonts w:eastAsia="Times New Roman" w:cs="Times New Roman" w:ascii="Times New Roman" w:hAnsi="Times New Roman"/>
          <w:color w:val="000000" w:themeColor="text1"/>
          <w:sz w:val="28"/>
          <w:szCs w:val="20"/>
          <w:lang w:eastAsia="ru-RU"/>
        </w:rPr>
        <w:t>1.1.3 Природные  условия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b/>
          <w:b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0"/>
          <w:lang w:eastAsia="ru-RU"/>
        </w:rPr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 xml:space="preserve">Татарско-Тавлинское сельское поселение находится в зоне умеренно-континентального климата со сравнительно жарким летом и холодной зимой. Территория хозяйства находится под влиянием воздушных масс умеренных  широт. Преобладающими ветрами являются западные и юго-западные. Среднегодовая  скорость ветра – 3.9м/с. 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 xml:space="preserve">Сравнительно часто территория попадает под воздействие сухих континентальных воздушных масс, приносимых с юго-востока. В теплый период года  в таких случаях иногда на длительное время наступают засухи. 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 xml:space="preserve">Несколько раз за зиму наблюдаются сильные метели, а иногда и </w:t>
      </w:r>
    </w:p>
    <w:p>
      <w:pPr>
        <w:pStyle w:val="Normal"/>
        <w:overflowPunct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снежные бураны. Зимой морозы достигают -44</w:t>
      </w:r>
      <w:r>
        <w:rPr>
          <w:rFonts w:eastAsia="Times New Roman" w:cs="Times New Roman" w:ascii="Times New Roman" w:hAnsi="Times New Roman"/>
          <w:sz w:val="28"/>
          <w:szCs w:val="20"/>
          <w:vertAlign w:val="superscript"/>
          <w:lang w:eastAsia="ru-RU"/>
        </w:rPr>
        <w:t>о</w:t>
      </w: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С. В переходные сезоны наблюдаются возвраты холодов и заморозков. Средняя годовая температура воздуха по многолетним данным + 3.</w:t>
      </w:r>
    </w:p>
    <w:p>
      <w:pPr>
        <w:pStyle w:val="Normal"/>
        <w:overflowPunct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Таблица 2</w:t>
      </w:r>
    </w:p>
    <w:p>
      <w:pPr>
        <w:pStyle w:val="Normal"/>
        <w:overflowPunct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Средняя месячная и годовая температура воздуха</w:t>
      </w:r>
    </w:p>
    <w:tbl>
      <w:tblPr>
        <w:tblW w:w="9072" w:type="dxa"/>
        <w:jc w:val="left"/>
        <w:tblInd w:w="23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91"/>
        <w:gridCol w:w="976"/>
        <w:gridCol w:w="977"/>
        <w:gridCol w:w="668"/>
        <w:gridCol w:w="711"/>
        <w:gridCol w:w="709"/>
        <w:gridCol w:w="710"/>
        <w:gridCol w:w="710"/>
        <w:gridCol w:w="710"/>
        <w:gridCol w:w="668"/>
        <w:gridCol w:w="669"/>
        <w:gridCol w:w="672"/>
      </w:tblGrid>
      <w:tr>
        <w:trPr>
          <w:trHeight w:val="540" w:hRule="atLeast"/>
        </w:trPr>
        <w:tc>
          <w:tcPr>
            <w:tcW w:w="9071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Средняя месячная и годовая температура воздуха</w:t>
            </w:r>
          </w:p>
        </w:tc>
      </w:tr>
      <w:tr>
        <w:trPr>
          <w:trHeight w:val="540" w:hRule="atLeast"/>
        </w:trPr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I</w:t>
            </w: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II</w:t>
            </w:r>
          </w:p>
        </w:tc>
        <w:tc>
          <w:tcPr>
            <w:tcW w:w="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III</w:t>
            </w:r>
          </w:p>
        </w:tc>
        <w:tc>
          <w:tcPr>
            <w:tcW w:w="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IV</w:t>
            </w: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V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VI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VII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VIII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IX</w:t>
            </w:r>
          </w:p>
        </w:tc>
        <w:tc>
          <w:tcPr>
            <w:tcW w:w="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X</w:t>
            </w:r>
          </w:p>
        </w:tc>
        <w:tc>
          <w:tcPr>
            <w:tcW w:w="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XI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XII</w:t>
            </w:r>
          </w:p>
        </w:tc>
      </w:tr>
      <w:tr>
        <w:trPr>
          <w:trHeight w:val="525" w:hRule="atLeast"/>
        </w:trPr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-11.9</w:t>
            </w:r>
          </w:p>
        </w:tc>
        <w:tc>
          <w:tcPr>
            <w:tcW w:w="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-11.5</w:t>
            </w:r>
          </w:p>
        </w:tc>
        <w:tc>
          <w:tcPr>
            <w:tcW w:w="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-5,7</w:t>
            </w:r>
          </w:p>
        </w:tc>
        <w:tc>
          <w:tcPr>
            <w:tcW w:w="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4,5</w:t>
            </w: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13,2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17,8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19.8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17.6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11.</w:t>
            </w: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4</w:t>
            </w:r>
          </w:p>
        </w:tc>
        <w:tc>
          <w:tcPr>
            <w:tcW w:w="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4,3</w:t>
            </w:r>
          </w:p>
        </w:tc>
        <w:tc>
          <w:tcPr>
            <w:tcW w:w="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-3.</w:t>
            </w: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-9.</w:t>
            </w: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7</w:t>
            </w:r>
          </w:p>
        </w:tc>
      </w:tr>
    </w:tbl>
    <w:p>
      <w:pPr>
        <w:pStyle w:val="Normal"/>
        <w:overflowPunct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 xml:space="preserve">  </w:t>
      </w:r>
    </w:p>
    <w:p>
      <w:pPr>
        <w:pStyle w:val="Normal"/>
        <w:overflowPunct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 xml:space="preserve">                                                                                       </w:t>
      </w:r>
    </w:p>
    <w:p>
      <w:pPr>
        <w:pStyle w:val="Normal"/>
        <w:overflowPunct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Таблица 3</w:t>
      </w:r>
    </w:p>
    <w:p>
      <w:pPr>
        <w:pStyle w:val="Normal"/>
        <w:overflowPunct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Минимальная температура воздуха</w:t>
      </w:r>
    </w:p>
    <w:tbl>
      <w:tblPr>
        <w:tblW w:w="9072" w:type="dxa"/>
        <w:jc w:val="left"/>
        <w:tblInd w:w="23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95"/>
        <w:gridCol w:w="708"/>
        <w:gridCol w:w="674"/>
        <w:gridCol w:w="670"/>
        <w:gridCol w:w="709"/>
        <w:gridCol w:w="709"/>
        <w:gridCol w:w="707"/>
        <w:gridCol w:w="708"/>
        <w:gridCol w:w="707"/>
        <w:gridCol w:w="671"/>
        <w:gridCol w:w="672"/>
        <w:gridCol w:w="1241"/>
      </w:tblGrid>
      <w:tr>
        <w:trPr>
          <w:trHeight w:val="540" w:hRule="atLeast"/>
        </w:trPr>
        <w:tc>
          <w:tcPr>
            <w:tcW w:w="9071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Минимальная температура воздуха</w:t>
            </w:r>
          </w:p>
        </w:tc>
      </w:tr>
      <w:tr>
        <w:trPr>
          <w:trHeight w:val="540" w:hRule="atLeast"/>
        </w:trPr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I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II</w:t>
            </w:r>
          </w:p>
        </w:tc>
        <w:tc>
          <w:tcPr>
            <w:tcW w:w="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III</w:t>
            </w:r>
          </w:p>
        </w:tc>
        <w:tc>
          <w:tcPr>
            <w:tcW w:w="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IV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V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VI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VII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VIII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IX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X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XI</w:t>
            </w:r>
          </w:p>
        </w:tc>
        <w:tc>
          <w:tcPr>
            <w:tcW w:w="12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XII</w:t>
            </w:r>
          </w:p>
        </w:tc>
      </w:tr>
      <w:tr>
        <w:trPr>
          <w:trHeight w:val="525" w:hRule="atLeast"/>
        </w:trPr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en-US"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-39</w:t>
            </w:r>
          </w:p>
        </w:tc>
        <w:tc>
          <w:tcPr>
            <w:tcW w:w="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-31</w:t>
            </w:r>
          </w:p>
        </w:tc>
        <w:tc>
          <w:tcPr>
            <w:tcW w:w="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-18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-8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-3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+2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0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-6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-19</w:t>
            </w:r>
          </w:p>
        </w:tc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29</w:t>
            </w:r>
          </w:p>
        </w:tc>
        <w:tc>
          <w:tcPr>
            <w:tcW w:w="12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overflowPunct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0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val="en-US"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  <w:t>37</w:t>
            </w:r>
          </w:p>
        </w:tc>
      </w:tr>
    </w:tbl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Продолжительность периода с температурами выше 0</w:t>
      </w:r>
      <w:r>
        <w:rPr>
          <w:rFonts w:eastAsia="Times New Roman" w:cs="Times New Roman" w:ascii="Times New Roman" w:hAnsi="Times New Roman"/>
          <w:sz w:val="28"/>
          <w:szCs w:val="20"/>
          <w:vertAlign w:val="superscript"/>
          <w:lang w:eastAsia="ru-RU"/>
        </w:rPr>
        <w:t xml:space="preserve"> о</w:t>
      </w: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С 209 дней, выше 5</w:t>
      </w:r>
      <w:r>
        <w:rPr>
          <w:rFonts w:eastAsia="Times New Roman" w:cs="Times New Roman" w:ascii="Times New Roman" w:hAnsi="Times New Roman"/>
          <w:sz w:val="28"/>
          <w:szCs w:val="20"/>
          <w:vertAlign w:val="superscript"/>
          <w:lang w:eastAsia="ru-RU"/>
        </w:rPr>
        <w:t xml:space="preserve"> о</w:t>
      </w: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С 130 дней. Дата первого заморозка 22 сентября, последнего 11 мая. Глубина промерзания почвы 90 см. Полное оттаивание почвы наступает 26 апреля.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Устойчивый снежный покров ложится во второй декаде ноября, достигая максимальной высоты во второй декаде марта 29 см. Снеготаяние начинается примерно в третьей декаде марта и заканчивается в первой декаде апреля. В период вегетации растений количество осадков составляет 237мл.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Территория района относится в зоне неустойчивого увлажнения. Годы с достаточным и даже обильным увлажнением нередко чередуются с засушливыми.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По многолетним данным в районе выпадает в среднем 459 мм осадков в год, в том числе в вегетационный период (апрель-октябрь) – 300-310 мм.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В весенне-летний период суховеи и засушливые явления наблюдают</w:t>
      </w:r>
      <w:r>
        <w:rPr>
          <w:rFonts w:eastAsia="Times New Roman" w:cs="Times New Roman" w:ascii="Times New Roman" w:hAnsi="Times New Roman"/>
          <w:sz w:val="28"/>
          <w:szCs w:val="20"/>
          <w:lang w:val="en-US" w:eastAsia="ru-RU"/>
        </w:rPr>
        <w:t>c</w:t>
      </w: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 xml:space="preserve">я почти ежегодно. Дней с суховеями бывает около 10, продолжительностью по 2-3 дня. </w:t>
      </w:r>
    </w:p>
    <w:p>
      <w:pPr>
        <w:pStyle w:val="Normal"/>
        <w:overflowPunct w:val="false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0"/>
          <w:lang w:eastAsia="ru-RU"/>
        </w:rPr>
      </w:pPr>
      <w:bookmarkStart w:id="89" w:name="_Toc216697024"/>
      <w:bookmarkStart w:id="90" w:name="_Toc205368672"/>
      <w:bookmarkEnd w:id="89"/>
      <w:bookmarkEnd w:id="90"/>
      <w:r>
        <w:rPr>
          <w:rFonts w:eastAsia="Times New Roman" w:cs="Times New Roman" w:ascii="Times New Roman" w:hAnsi="Times New Roman"/>
          <w:b/>
          <w:sz w:val="28"/>
          <w:szCs w:val="20"/>
          <w:lang w:eastAsia="ru-RU"/>
        </w:rPr>
        <w:t>Почвы</w:t>
      </w:r>
    </w:p>
    <w:p>
      <w:pPr>
        <w:pStyle w:val="Normal"/>
        <w:overflowPunct w:val="false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0"/>
          <w:lang w:eastAsia="ru-RU"/>
        </w:rPr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000000"/>
          <w:spacing w:val="0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zCs w:val="20"/>
          <w:lang w:eastAsia="ru-RU"/>
        </w:rPr>
        <w:t xml:space="preserve">Преобладающими почвами на территории поселения  являются черноземы, которые представлены двумя подтипами - выщелочными и оподзоленными. Серые лесные оподзоленные, серые лесные  оподзоленные почвы. </w:t>
      </w:r>
    </w:p>
    <w:p>
      <w:pPr>
        <w:pStyle w:val="Normal"/>
        <w:shd w:val="clear" w:color="auto" w:fill="FFFFFF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Courier New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Черноземы оподзоленные среднемощные среднегумусные тяжело суглинистые. Эти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почвы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занимают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площадь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- 1443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га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. </w:t>
      </w:r>
    </w:p>
    <w:p>
      <w:pPr>
        <w:pStyle w:val="Normal"/>
        <w:shd w:val="clear" w:color="auto" w:fill="FFFFFF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Сформировались данные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почвы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делювиальных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отложениях на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пологих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склонах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.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Характерными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особенностями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морфологии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оподзоленных черноземов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являются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наличие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кремнеземистой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присыпки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гуму</w:t>
        <w:softHyphen/>
        <w:t>совом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слое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.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Обычно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она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виде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белесоватого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налета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как 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-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бы припудривает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структурные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отдельности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горизонте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под гумусовым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слоем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выделяется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иллювиальный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,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уплотненный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выщело</w:t>
        <w:softHyphen/>
        <w:t>ченный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горизонт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имеющий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ореховатую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или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призматическую</w:t>
      </w:r>
      <w:r>
        <w:rPr>
          <w:rFonts w:eastAsia="Times New Roman" w:cs="Courier New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структуру.</w:t>
      </w:r>
    </w:p>
    <w:p>
      <w:pPr>
        <w:pStyle w:val="Normal"/>
        <w:overflowPunct w:val="fals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8"/>
          <w:szCs w:val="20"/>
          <w:lang w:eastAsia="ru-RU"/>
        </w:rPr>
        <w:t>Перегнойный  горизонт темного цвета, хорошо оструктурен. Пахотный слой отличается буроватым оттенком. Содержание гумуса на территории в пахотном слое высокое- 8.2-9%. Гумус играет огромную роль в повышении влагоемкости  и теплоемкости почвы, а также  газообмену в почве. Обеспеченность подвижными формами фосфора и калия достаточная, т.е. данные почвы будут отзывчивы на внесение фосфорных удобрений, и отчасти калийных удобрений. Реакция почвенного раствора близка к нейтральной. В известковании данные почвы не нуждаются.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0"/>
        </w:numPr>
        <w:tabs>
          <w:tab w:val="left" w:pos="1134" w:leader="none"/>
        </w:tabs>
        <w:spacing w:lineRule="auto" w:line="360" w:before="0" w:after="0"/>
        <w:ind w:firstLine="709"/>
        <w:jc w:val="both"/>
        <w:outlineLvl w:val="1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bookmarkStart w:id="91" w:name="_Toc470605156"/>
      <w:bookmarkStart w:id="92" w:name="_Toc470606296"/>
      <w:bookmarkStart w:id="93" w:name="_Toc470680098"/>
      <w:bookmarkEnd w:id="91"/>
      <w:bookmarkEnd w:id="92"/>
      <w:bookmarkEnd w:id="93"/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Растительность и животный мир</w:t>
      </w:r>
    </w:p>
    <w:p>
      <w:pPr>
        <w:pStyle w:val="Normal"/>
        <w:numPr>
          <w:ilvl w:val="0"/>
          <w:numId w:val="0"/>
        </w:numPr>
        <w:tabs>
          <w:tab w:val="left" w:pos="1134" w:leader="none"/>
        </w:tabs>
        <w:spacing w:lineRule="auto" w:line="360" w:before="0" w:after="0"/>
        <w:ind w:firstLine="720"/>
        <w:jc w:val="both"/>
        <w:outlineLvl w:val="1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overflowPunct w:val="false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pacing w:val="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0"/>
          <w:sz w:val="28"/>
          <w:szCs w:val="28"/>
          <w:lang w:eastAsia="ru-RU"/>
        </w:rPr>
        <w:t xml:space="preserve">Татарско-Тавлинское сельское поселение расположено в лесостепной зоне. Естественная  травянистая растительность при распаханности территории на  74.6% от общей площади, сохранилась  в пойме и склонам оврагов и балок и представлена малоурожайным низкорослым травостоем. </w:t>
      </w:r>
    </w:p>
    <w:p>
      <w:pPr>
        <w:pStyle w:val="Normal"/>
        <w:overflowPunct w:val="false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pacing w:val="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0"/>
          <w:sz w:val="28"/>
          <w:szCs w:val="28"/>
          <w:lang w:eastAsia="ru-RU"/>
        </w:rPr>
        <w:t>Преобладают суходольные пастбища - площадь 292 га. Травостой их представлен разнотравно-злаковой и сложноцветной-злаковой ассоциацией. Эти кормовые угодия невысокого качества вследствие закочкаренности, сбитости и засоренности крупностебельными сорняками.</w:t>
      </w:r>
    </w:p>
    <w:p>
      <w:pPr>
        <w:pStyle w:val="Normal"/>
        <w:overflowPunct w:val="false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pacing w:val="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0"/>
          <w:sz w:val="28"/>
          <w:szCs w:val="28"/>
          <w:lang w:eastAsia="ru-RU"/>
        </w:rPr>
        <w:t>В состав травостоя входит: щучка, полевица белая, клевер ползучий, клевер луговой, лапчатка гусиная, лютик едкий, щавель конский. В лощинах преобладает влаголюбивое разнотравье с преобладанием осоковых.</w:t>
      </w:r>
    </w:p>
    <w:p>
      <w:pPr>
        <w:pStyle w:val="Normal"/>
        <w:overflowPunct w:val="false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pacing w:val="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0"/>
          <w:sz w:val="28"/>
          <w:szCs w:val="28"/>
          <w:lang w:eastAsia="ru-RU"/>
        </w:rPr>
        <w:t>При коренном улучшении суходольных пастбищ продуктивность их значительно повысится.</w:t>
      </w:r>
    </w:p>
    <w:p>
      <w:pPr>
        <w:pStyle w:val="Normal"/>
        <w:overflowPunct w:val="false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pacing w:val="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pacing w:val="0"/>
          <w:sz w:val="28"/>
          <w:szCs w:val="28"/>
          <w:lang w:eastAsia="ru-RU"/>
        </w:rPr>
        <w:t>В имеющихся лесополосах произрастают береза, клен, акация и др. Поселение имеет фруктовый сад, на котором произрастают яблони.</w:t>
      </w:r>
    </w:p>
    <w:p>
      <w:pPr>
        <w:pStyle w:val="Normal"/>
        <w:spacing w:lineRule="auto" w:line="360" w:before="0" w:after="0"/>
        <w:ind w:firstLine="720"/>
        <w:jc w:val="both"/>
        <w:rPr>
          <w:rFonts w:ascii="Times New Roman" w:hAnsi="Times New Roman" w:cs="Times New Roman"/>
          <w:spacing w:val="0"/>
          <w:sz w:val="28"/>
          <w:szCs w:val="28"/>
        </w:rPr>
      </w:pPr>
      <w:r>
        <w:rPr>
          <w:rFonts w:cs="Times New Roman" w:ascii="Times New Roman" w:hAnsi="Times New Roman"/>
          <w:spacing w:val="0"/>
          <w:sz w:val="28"/>
          <w:szCs w:val="28"/>
        </w:rPr>
        <w:t>Среди сорняков различных биологических групп встречаются вьюнок полевой, осок розовый, молочай разный.</w:t>
      </w:r>
    </w:p>
    <w:p>
      <w:pPr>
        <w:pStyle w:val="Normal"/>
        <w:spacing w:lineRule="auto" w:line="360" w:before="0" w:after="0"/>
        <w:ind w:firstLine="720"/>
        <w:jc w:val="both"/>
        <w:rPr>
          <w:rFonts w:ascii="Times New Roman" w:hAnsi="Times New Roman" w:cs="Times New Roman"/>
          <w:spacing w:val="0"/>
          <w:sz w:val="28"/>
          <w:szCs w:val="28"/>
        </w:rPr>
      </w:pPr>
      <w:r>
        <w:rPr>
          <w:rFonts w:cs="Times New Roman" w:ascii="Times New Roman" w:hAnsi="Times New Roman"/>
          <w:spacing w:val="0"/>
          <w:sz w:val="28"/>
          <w:szCs w:val="28"/>
        </w:rPr>
      </w:r>
    </w:p>
    <w:p>
      <w:pPr>
        <w:pStyle w:val="3"/>
        <w:spacing w:lineRule="auto" w:line="360" w:before="0" w:after="0"/>
        <w:ind w:firstLine="709"/>
        <w:jc w:val="both"/>
        <w:rPr>
          <w:rFonts w:ascii="Times New Roman" w:hAnsi="Times New Roman"/>
          <w:b w:val="false"/>
          <w:b w:val="false"/>
          <w:color w:val="00000A"/>
          <w:sz w:val="28"/>
        </w:rPr>
      </w:pPr>
      <w:bookmarkStart w:id="94" w:name="_Toc469923070"/>
      <w:bookmarkStart w:id="95" w:name="_Toc470680099"/>
      <w:r>
        <w:rPr>
          <w:rFonts w:ascii="Times New Roman" w:hAnsi="Times New Roman"/>
          <w:color w:val="00000A"/>
          <w:sz w:val="28"/>
        </w:rPr>
        <w:t>1.1.4. Социально – экономическое развитие</w:t>
      </w:r>
      <w:bookmarkEnd w:id="94"/>
      <w:bookmarkEnd w:id="95"/>
      <w:r>
        <w:rPr>
          <w:rFonts w:ascii="Times New Roman" w:hAnsi="Times New Roman"/>
          <w:color w:val="00000A"/>
          <w:sz w:val="28"/>
        </w:rPr>
        <w:t xml:space="preserve"> </w:t>
      </w:r>
    </w:p>
    <w:p>
      <w:pPr>
        <w:pStyle w:val="NoSpacing"/>
        <w:ind w:firstLine="709"/>
        <w:rPr/>
      </w:pPr>
      <w:r>
        <w:rPr/>
      </w:r>
    </w:p>
    <w:p>
      <w:pPr>
        <w:pStyle w:val="NoSpacing"/>
        <w:rPr/>
      </w:pPr>
      <w:r>
        <w:rPr/>
        <w:t>Обеспеченность населения района по составу и вместимости объектов большинства видов услуг приближается к региональным нормативам, хотя качество обслуживания в ряде случаев низкое, из-за слабо развитой технической базы, недостатка финансовых средств, а также малой заинтересованности работников в результатах труда.</w:t>
      </w:r>
    </w:p>
    <w:p>
      <w:pPr>
        <w:pStyle w:val="NoSpacing"/>
        <w:rPr/>
      </w:pPr>
      <w:r>
        <w:rPr/>
        <w:t>Система центров обслуживания, созданная в районе, довольно развитая, охватывает всю территорию района и состоит из объектов трех уровней обслуживания – локального, межселенного и районного. Объекты локального обслуживания расположены во всех центрах сельских поселений, объекты межселенного обслуживания расположены в наиболее крупных центрах сельских поселений. Объекты районного обслуживания расположены в районном центре Татарская Тавла.</w:t>
      </w:r>
    </w:p>
    <w:p>
      <w:pPr>
        <w:pStyle w:val="NoSpacing"/>
        <w:rPr/>
      </w:pPr>
      <w:r>
        <w:rPr/>
        <w:t>Таким образом,  зачастую объекты  функционируют как межселенные, то есть обслуживают не только жителей данного населенного пункта, но и население в зоне своего влияния. При этом выполнение услуг, требующих высококвалифицированных кадров и сложного технологического оборудования  осуществляется в районном центре.</w:t>
      </w:r>
    </w:p>
    <w:p>
      <w:pPr>
        <w:pStyle w:val="NoSpacing"/>
        <w:rPr/>
      </w:pPr>
      <w:r>
        <w:rPr/>
        <w:t>Положительным опытом в решении социальных вопросов в малых населенных пунктах является строительство социально-досуговых центров, где в одном здании объединяются учреждение образования, здравоохранения и культуры. Что позволяет значительно экономить средства необходимые на содержание зданий.</w:t>
      </w:r>
    </w:p>
    <w:p>
      <w:pPr>
        <w:pStyle w:val="NoSpacing"/>
        <w:rPr/>
      </w:pPr>
      <w:r>
        <w:rPr/>
        <w:t>Развитие социальной сферы представляется возможным в той мере, в которой это позволяют субвенции из бюджетов вышестоящих уровней. В качестве приоритетных отраслей представляется важным рассматривать образование и  здравоохранение.</w:t>
      </w:r>
    </w:p>
    <w:p>
      <w:pPr>
        <w:pStyle w:val="NoSpacing"/>
        <w:rPr/>
      </w:pPr>
      <w:r>
        <w:rPr/>
        <w:t>Основными задачами в сфере торговли и услуг являются: дальнейшее развитие и совершенствование отраслей торговли, общественного питания и платных услуг; полное удовлетворение потребностей населения; укрепление и развитие предпринимательской деятельности на потребительском рынке; поддержка и развитие социально-значимых торговых и бытовых услуг; обеспечение защиты прав потребителей на потребительском рынке.</w:t>
      </w:r>
    </w:p>
    <w:p>
      <w:pPr>
        <w:pStyle w:val="NoSpacing"/>
        <w:rPr/>
      </w:pPr>
      <w:r>
        <w:rPr/>
        <w:t>Проектом предлагается:</w:t>
      </w:r>
    </w:p>
    <w:p>
      <w:pPr>
        <w:pStyle w:val="NoSpacing"/>
        <w:rPr/>
      </w:pPr>
      <w:r>
        <w:rPr/>
        <w:t>При формировании системы обслуживания учитывать следующие уровни обеспеченности учреждениями и объектами:</w:t>
      </w:r>
    </w:p>
    <w:p>
      <w:pPr>
        <w:pStyle w:val="NoSpacing"/>
        <w:rPr/>
      </w:pPr>
      <w:r>
        <w:rPr/>
        <w:t>- повседневного обслуживания - учреждения и предприятия, посещаемые населением не реже одного раза в неделю, или те, которые должны быть расположены в непосредственной близости к местам проживания и работы населения;</w:t>
      </w:r>
    </w:p>
    <w:p>
      <w:pPr>
        <w:pStyle w:val="NoSpacing"/>
        <w:rPr/>
      </w:pPr>
      <w:r>
        <w:rPr/>
        <w:t>- периодического обслуживания – учреждения и предприятия, посещаемые населением не реже одного раза в месяц;</w:t>
      </w:r>
    </w:p>
    <w:p>
      <w:pPr>
        <w:pStyle w:val="NoSpacing"/>
        <w:rPr/>
      </w:pPr>
      <w:r>
        <w:rPr/>
        <w:t>- эпизодического обслуживания – учреждения и предприятия, посещаемые населением реже одного раза в месяц (специализированные учебные заведения, больницы, универмаги, театры, концертные и выставочные залы и др.)</w:t>
      </w:r>
    </w:p>
    <w:p>
      <w:pPr>
        <w:pStyle w:val="NoSpacing"/>
        <w:rPr/>
      </w:pPr>
      <w:r>
        <w:rPr/>
        <w:t>В сельской местности предусматриваются подразделения учреждений и предприятий обслуживания на объекты первой необходимости в каждом населенном пункте, начиная с 50 жителей, и базовые объекты более высокого уровня на сельское поселение, размещаемые в административном центре сельского поселения.</w:t>
      </w:r>
    </w:p>
    <w:p>
      <w:pPr>
        <w:pStyle w:val="NoSpacing"/>
        <w:rPr/>
      </w:pPr>
      <w:r>
        <w:rPr/>
        <w:t>Для организации обслуживания необходимо предусматривать, помимо стационарных зданий, передвижные средства и сооружения сезонного использования, выделяя для них соответствующие площадки.</w:t>
      </w:r>
    </w:p>
    <w:p>
      <w:pPr>
        <w:pStyle w:val="NoSpacing"/>
        <w:rPr/>
      </w:pPr>
      <w:r>
        <w:rPr/>
        <w:t>Обеспечение жителей каждого населенного пункта услугами первой необходимости должны осуществляться в пределах пешеходной доступности не более 30 мин.</w:t>
      </w:r>
    </w:p>
    <w:p>
      <w:pPr>
        <w:pStyle w:val="NoSpacing"/>
        <w:rPr/>
      </w:pPr>
      <w:r>
        <w:rPr/>
        <w:t>Потребности населения в учреждениях и предприятиях обслуживания должны обеспечиваться путем нового строительства и реконструкции  существующего фонда.</w:t>
      </w:r>
    </w:p>
    <w:p>
      <w:pPr>
        <w:pStyle w:val="Normal"/>
        <w:overflowPunct w:val="false"/>
        <w:spacing w:lineRule="auto" w:line="360" w:before="0" w:after="0"/>
        <w:ind w:left="720" w:hanging="0"/>
        <w:rPr>
          <w:rFonts w:ascii="Times New Roman" w:hAnsi="Times New Roman" w:eastAsia="Times New Roman" w:cs="Times New Roman"/>
          <w:b/>
          <w:b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0"/>
          <w:lang w:eastAsia="ru-RU"/>
        </w:rPr>
      </w:r>
    </w:p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0"/>
          <w:lang w:eastAsia="ru-RU"/>
        </w:rPr>
      </w:pPr>
      <w:bookmarkStart w:id="96" w:name="_Toc470680100"/>
      <w:r>
        <w:rPr>
          <w:rFonts w:eastAsia="Times New Roman" w:cs="Times New Roman" w:ascii="Times New Roman" w:hAnsi="Times New Roman"/>
          <w:color w:val="000000" w:themeColor="text1"/>
          <w:sz w:val="28"/>
          <w:szCs w:val="20"/>
          <w:lang w:eastAsia="ru-RU"/>
        </w:rPr>
        <w:t>1.2 Прогноз численности и состава населения</w:t>
      </w:r>
      <w:bookmarkEnd w:id="96"/>
      <w:r>
        <w:rPr>
          <w:rFonts w:eastAsia="Times New Roman" w:cs="Times New Roman" w:ascii="Times New Roman" w:hAnsi="Times New Roman"/>
          <w:color w:val="000000" w:themeColor="text1"/>
          <w:sz w:val="28"/>
          <w:szCs w:val="20"/>
          <w:lang w:eastAsia="ru-RU"/>
        </w:rPr>
        <w:t xml:space="preserve"> </w:t>
      </w:r>
    </w:p>
    <w:p>
      <w:pPr>
        <w:pStyle w:val="Normal"/>
        <w:overflowPunct w:val="false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Определение направленности развития поселения предполагает анализ изменения его численности и структуры населения, которые в значительной мере зависят от социально-экономических и культурных факторов.</w:t>
      </w:r>
    </w:p>
    <w:p>
      <w:pPr>
        <w:pStyle w:val="Normal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Численность населения Татарско-Тавлинского сельского поселения на 01.12.2016г. составляет 795</w:t>
      </w:r>
      <w:r>
        <w:rPr>
          <w:rFonts w:eastAsia="Times New Roman" w:cs="Times New Roman" w:ascii="Times New Roman" w:hAnsi="Times New Roman"/>
          <w:color w:val="FF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человек. </w:t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</w:rPr>
        <w:t>Согласно данным таблицы прослеживается тенденция уменьшения численности населения.</w:t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</w:rPr>
        <w:t>Тенденция увеличения численности населения слагается из условий рождаемости, смертности и миграции за последние три года.</w:t>
      </w:r>
    </w:p>
    <w:p>
      <w:pPr>
        <w:pStyle w:val="Normal"/>
        <w:rPr/>
      </w:pPr>
      <w:r>
        <w:rPr>
          <w:rFonts w:ascii="Times New Roman" w:hAnsi="Times New Roman"/>
          <w:sz w:val="28"/>
        </w:rPr>
        <w:t>Таблица 4</w:t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Общая численность населения МО в 2016 г.</w:t>
      </w:r>
    </w:p>
    <w:tbl>
      <w:tblPr>
        <w:tblW w:w="10774" w:type="dxa"/>
        <w:jc w:val="left"/>
        <w:tblInd w:w="-90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715"/>
        <w:gridCol w:w="1262"/>
        <w:gridCol w:w="1277"/>
        <w:gridCol w:w="1277"/>
        <w:gridCol w:w="1417"/>
        <w:gridCol w:w="1416"/>
        <w:gridCol w:w="1418"/>
        <w:gridCol w:w="990"/>
      </w:tblGrid>
      <w:tr>
        <w:trPr/>
        <w:tc>
          <w:tcPr>
            <w:tcW w:w="1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Женское население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Мужское население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Детское население до 18 лет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Население трудоспособного возраста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Население старше трудоспособного возраста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Население младше трудоспособного возраста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Всего</w:t>
            </w:r>
          </w:p>
        </w:tc>
      </w:tr>
      <w:tr>
        <w:trPr/>
        <w:tc>
          <w:tcPr>
            <w:tcW w:w="1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с.Татарская Тавла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410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385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149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473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181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126</w:t>
            </w:r>
          </w:p>
        </w:tc>
        <w:tc>
          <w:tcPr>
            <w:tcW w:w="9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</w:rPr>
              <w:t>795</w:t>
            </w:r>
          </w:p>
        </w:tc>
      </w:tr>
    </w:tbl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Таблица 5</w:t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Анализ и прогноз численности населения</w:t>
      </w:r>
    </w:p>
    <w:tbl>
      <w:tblPr>
        <w:tblW w:w="9677" w:type="dxa"/>
        <w:jc w:val="left"/>
        <w:tblInd w:w="-12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39"/>
        <w:gridCol w:w="2830"/>
        <w:gridCol w:w="936"/>
        <w:gridCol w:w="908"/>
        <w:gridCol w:w="909"/>
        <w:gridCol w:w="898"/>
        <w:gridCol w:w="891"/>
        <w:gridCol w:w="895"/>
        <w:gridCol w:w="870"/>
      </w:tblGrid>
      <w:tr>
        <w:trPr/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2013г.</w:t>
            </w:r>
          </w:p>
        </w:tc>
        <w:tc>
          <w:tcPr>
            <w:tcW w:w="9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2014г.</w:t>
            </w:r>
          </w:p>
        </w:tc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2015г.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2016г.</w:t>
            </w:r>
          </w:p>
        </w:tc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2020г.</w:t>
            </w:r>
          </w:p>
        </w:tc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2027г.</w:t>
            </w:r>
          </w:p>
        </w:tc>
      </w:tr>
      <w:tr>
        <w:trPr/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Численность населения (всего)</w:t>
            </w:r>
          </w:p>
        </w:tc>
        <w:tc>
          <w:tcPr>
            <w:tcW w:w="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777</w:t>
            </w:r>
          </w:p>
        </w:tc>
        <w:tc>
          <w:tcPr>
            <w:tcW w:w="9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780</w:t>
            </w:r>
          </w:p>
        </w:tc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773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795</w:t>
            </w:r>
          </w:p>
        </w:tc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810</w:t>
            </w:r>
          </w:p>
        </w:tc>
      </w:tr>
      <w:tr>
        <w:trPr/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Общий коэффициент рождаемости</w:t>
            </w:r>
          </w:p>
        </w:tc>
        <w:tc>
          <w:tcPr>
            <w:tcW w:w="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чел. на 1000 насел.</w:t>
            </w:r>
          </w:p>
        </w:tc>
        <w:tc>
          <w:tcPr>
            <w:tcW w:w="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Общий коэффициент смертности</w:t>
            </w:r>
          </w:p>
        </w:tc>
        <w:tc>
          <w:tcPr>
            <w:tcW w:w="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чел. на 1000 насел.</w:t>
            </w:r>
          </w:p>
        </w:tc>
        <w:tc>
          <w:tcPr>
            <w:tcW w:w="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Трудовые ресурсы</w:t>
            </w:r>
          </w:p>
        </w:tc>
        <w:tc>
          <w:tcPr>
            <w:tcW w:w="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433</w:t>
            </w:r>
          </w:p>
        </w:tc>
        <w:tc>
          <w:tcPr>
            <w:tcW w:w="9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452</w:t>
            </w:r>
          </w:p>
        </w:tc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460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473</w:t>
            </w:r>
          </w:p>
        </w:tc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481</w:t>
            </w:r>
          </w:p>
        </w:tc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492</w:t>
            </w:r>
          </w:p>
        </w:tc>
      </w:tr>
      <w:tr>
        <w:trPr/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Численность безработных, зарегистрированных в государственных учреждениях службы занятости населения </w:t>
            </w:r>
          </w:p>
        </w:tc>
        <w:tc>
          <w:tcPr>
            <w:tcW w:w="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Уровень регистрируемой безработицы (от численности экономически активного населения)</w:t>
            </w:r>
          </w:p>
        </w:tc>
        <w:tc>
          <w:tcPr>
            <w:tcW w:w="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Средний размер семьи</w:t>
            </w:r>
          </w:p>
        </w:tc>
        <w:tc>
          <w:tcPr>
            <w:tcW w:w="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 xml:space="preserve">Таблица </w:t>
      </w:r>
      <w:r>
        <w:rPr>
          <w:rFonts w:eastAsia="Calibri" w:cs="Times New Roman" w:ascii="Times New Roman" w:hAnsi="Times New Roman"/>
          <w:sz w:val="28"/>
          <w:szCs w:val="28"/>
        </w:rPr>
        <w:t>6</w:t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Показатели естественного движения населения</w:t>
      </w:r>
    </w:p>
    <w:tbl>
      <w:tblPr>
        <w:tblW w:w="9571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647"/>
        <w:gridCol w:w="4315"/>
        <w:gridCol w:w="1105"/>
        <w:gridCol w:w="938"/>
        <w:gridCol w:w="854"/>
        <w:gridCol w:w="855"/>
        <w:gridCol w:w="856"/>
      </w:tblGrid>
      <w:tr>
        <w:trPr/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2013г.</w:t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2014г.</w:t>
            </w: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2015г.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2016г.</w:t>
            </w:r>
          </w:p>
        </w:tc>
      </w:tr>
      <w:tr>
        <w:trPr/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Показатели рождаемости</w:t>
            </w:r>
          </w:p>
        </w:tc>
        <w:tc>
          <w:tcPr>
            <w:tcW w:w="1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0,006</w:t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0,003</w:t>
            </w: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0,009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0,003</w:t>
            </w:r>
          </w:p>
        </w:tc>
      </w:tr>
      <w:tr>
        <w:trPr/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Показатели смертности</w:t>
            </w:r>
          </w:p>
        </w:tc>
        <w:tc>
          <w:tcPr>
            <w:tcW w:w="1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0,010</w:t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0,016</w:t>
            </w: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0,018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0,015</w:t>
            </w:r>
          </w:p>
        </w:tc>
      </w:tr>
      <w:tr>
        <w:trPr/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Продолжительность жизни</w:t>
            </w:r>
          </w:p>
        </w:tc>
        <w:tc>
          <w:tcPr>
            <w:tcW w:w="1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лет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Естественный прирост(+), убыль (-)</w:t>
            </w:r>
          </w:p>
        </w:tc>
        <w:tc>
          <w:tcPr>
            <w:tcW w:w="1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+13</w:t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+24</w:t>
            </w: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+24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+15</w:t>
            </w:r>
          </w:p>
        </w:tc>
      </w:tr>
      <w:tr>
        <w:trPr/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Средняя продолжительность жизни женщин</w:t>
            </w:r>
          </w:p>
        </w:tc>
        <w:tc>
          <w:tcPr>
            <w:tcW w:w="1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лет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Средняя продолжительность жизни мужчин</w:t>
            </w:r>
          </w:p>
        </w:tc>
        <w:tc>
          <w:tcPr>
            <w:tcW w:w="1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лет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Количество зарегистрированных браков</w:t>
            </w:r>
          </w:p>
        </w:tc>
        <w:tc>
          <w:tcPr>
            <w:tcW w:w="1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Количество бракоразводных процессов</w:t>
            </w:r>
          </w:p>
        </w:tc>
        <w:tc>
          <w:tcPr>
            <w:tcW w:w="1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0</w:t>
            </w:r>
          </w:p>
        </w:tc>
      </w:tr>
    </w:tbl>
    <w:p>
      <w:pPr>
        <w:pStyle w:val="Normal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 xml:space="preserve">Таблица </w:t>
      </w:r>
      <w:r>
        <w:rPr>
          <w:rFonts w:eastAsia="Calibri" w:cs="Times New Roman" w:ascii="Times New Roman" w:hAnsi="Times New Roman"/>
          <w:sz w:val="28"/>
          <w:szCs w:val="28"/>
        </w:rPr>
        <w:t>7</w:t>
      </w:r>
    </w:p>
    <w:p>
      <w:pPr>
        <w:pStyle w:val="Normal"/>
        <w:spacing w:lineRule="auto" w:line="360" w:before="0" w:after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sz w:val="28"/>
          <w:szCs w:val="28"/>
        </w:rPr>
        <w:t>Численность</w:t>
      </w:r>
    </w:p>
    <w:tbl>
      <w:tblPr>
        <w:tblW w:w="9676" w:type="dxa"/>
        <w:jc w:val="left"/>
        <w:tblInd w:w="-12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37"/>
        <w:gridCol w:w="3805"/>
        <w:gridCol w:w="889"/>
        <w:gridCol w:w="891"/>
        <w:gridCol w:w="891"/>
        <w:gridCol w:w="889"/>
        <w:gridCol w:w="889"/>
        <w:gridCol w:w="883"/>
      </w:tblGrid>
      <w:tr>
        <w:trPr/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2013г.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2014г.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2015г.</w:t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2016г.</w:t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2020г.</w:t>
            </w:r>
          </w:p>
        </w:tc>
        <w:tc>
          <w:tcPr>
            <w:tcW w:w="8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2027г.</w:t>
            </w:r>
          </w:p>
        </w:tc>
      </w:tr>
      <w:tr>
        <w:trPr/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Численность студентов (высшее, среднее проф.образование)</w:t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Численность учащихся (общее, среднее и нач.проф.обр.)</w:t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Численность работающих в населенном пункте</w:t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8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110</w:t>
            </w:r>
          </w:p>
        </w:tc>
      </w:tr>
      <w:tr>
        <w:trPr/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Численность, занятых в промышленности</w:t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Численность, занятых в торговле и сфере услуг</w:t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5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Численность госслужащих (медицина, образование и т.д.)</w:t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8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50</w:t>
            </w:r>
          </w:p>
        </w:tc>
      </w:tr>
    </w:tbl>
    <w:p>
      <w:pPr>
        <w:pStyle w:val="Normal"/>
        <w:overflowPunct w:val="false"/>
        <w:spacing w:lineRule="auto" w:line="240" w:before="0" w:after="0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</w:r>
    </w:p>
    <w:p>
      <w:pPr>
        <w:pStyle w:val="Normal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Исходя из сложившейся ситуации в Татарско-Тавлинском сельском поселении и предлагаемого Генпланом некоторого увеличения жилой застройки в пределах села, создания мест приложения труда с достойной оплатой, можно предположить, что данное поселение станет миграционно привлекательным, что позволит придать динамике естественного движения населения положительный характер.</w:t>
      </w:r>
    </w:p>
    <w:p>
      <w:pPr>
        <w:pStyle w:val="Normal"/>
        <w:spacing w:lineRule="auto" w:line="360" w:before="0" w:after="0"/>
        <w:ind w:right="18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1"/>
          <w:numId w:val="3"/>
        </w:numPr>
        <w:outlineLvl w:val="1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color w:val="00000A"/>
          <w:sz w:val="28"/>
          <w:szCs w:val="28"/>
        </w:rPr>
        <w:t xml:space="preserve"> </w:t>
      </w:r>
      <w:bookmarkStart w:id="97" w:name="_Toc470680101"/>
      <w:bookmarkEnd w:id="97"/>
      <w:r>
        <w:rPr>
          <w:rFonts w:cs="Times New Roman" w:ascii="Times New Roman" w:hAnsi="Times New Roman"/>
          <w:b/>
          <w:color w:val="00000A"/>
          <w:sz w:val="28"/>
          <w:szCs w:val="28"/>
        </w:rPr>
        <w:t>Прогноз социально-экономического развития</w:t>
      </w:r>
    </w:p>
    <w:p>
      <w:pPr>
        <w:pStyle w:val="ListParagraph"/>
        <w:ind w:left="645" w:hanging="0"/>
        <w:rPr>
          <w:rFonts w:ascii="Calibri" w:hAnsi="Calibri" w:eastAsia="Calibri" w:cs="" w:asciiTheme="minorHAnsi" w:cstheme="minorBidi" w:eastAsiaTheme="minorHAnsi" w:hAnsiTheme="minorHAnsi"/>
          <w:b/>
          <w:b/>
          <w:color w:val="00000A"/>
        </w:rPr>
      </w:pPr>
      <w:r>
        <w:rPr>
          <w:rFonts w:eastAsia="Calibri" w:cs="" w:cstheme="minorBidi" w:eastAsiaTheme="minorHAnsi"/>
          <w:b/>
          <w:color w:val="00000A"/>
        </w:rPr>
      </w:r>
    </w:p>
    <w:p>
      <w:pPr>
        <w:pStyle w:val="S4"/>
        <w:ind w:right="22" w:firstLine="72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Как уже отмечалось, при проведении оценки производственной сферы: </w:t>
      </w:r>
      <w:r>
        <w:rPr>
          <w:rFonts w:cs="Times New Roman" w:ascii="Times New Roman" w:hAnsi="Times New Roman"/>
          <w:color w:val="00000A"/>
          <w:sz w:val="28"/>
          <w:szCs w:val="28"/>
          <w:highlight w:val="yellow"/>
        </w:rPr>
        <w:t xml:space="preserve">основной </w:t>
      </w:r>
      <w:r>
        <w:rPr>
          <w:rFonts w:cs="Times New Roman" w:ascii="Times New Roman" w:hAnsi="Times New Roman"/>
          <w:color w:val="00000A"/>
          <w:sz w:val="28"/>
          <w:szCs w:val="28"/>
        </w:rPr>
        <w:t xml:space="preserve">развития экономики Татарско-Тавлинского сельского поселения и источником возможного экономического роста являются комплексы отраслей АПК (животноводство, растениеводство). </w:t>
      </w:r>
    </w:p>
    <w:p>
      <w:pPr>
        <w:pStyle w:val="S4"/>
        <w:ind w:firstLine="72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color w:val="00000A"/>
          <w:sz w:val="28"/>
          <w:szCs w:val="28"/>
        </w:rPr>
        <w:t>Социальная сфера</w:t>
      </w:r>
    </w:p>
    <w:p>
      <w:pPr>
        <w:pStyle w:val="S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Объем нового строительства объектов социальной сферы был установлен в соответствии с потребностью населения на расчетный срок (на конец 2027 г.). Проектные мощности проектируемых объектов необходимо корректировать в зависимости от периода строительства в соответствие с численностью населения и нормативной потребностью в данный период. </w:t>
      </w:r>
    </w:p>
    <w:p>
      <w:pPr>
        <w:pStyle w:val="S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A"/>
          <w:sz w:val="28"/>
          <w:szCs w:val="28"/>
        </w:rPr>
        <w:t xml:space="preserve">С целью сокращения затрат на строительство новых зданий предложены такие мероприятия как реконструкция объекта и </w:t>
      </w:r>
      <w:r>
        <w:rPr>
          <w:rFonts w:cs="Times New Roman" w:ascii="Times New Roman" w:hAnsi="Times New Roman"/>
          <w:sz w:val="28"/>
          <w:szCs w:val="28"/>
        </w:rPr>
        <w:t>перепрофилирование объекта.</w:t>
      </w:r>
    </w:p>
    <w:p>
      <w:pPr>
        <w:pStyle w:val="S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Реконструкция объекта предусмотрена в следующих случаях:</w:t>
      </w:r>
    </w:p>
    <w:p>
      <w:pPr>
        <w:pStyle w:val="S4"/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необходимости увеличения проектной мощности объекта (так как строительство двух объектов с одинаковым значением на малых территориях производить  не рационально),</w:t>
      </w:r>
    </w:p>
    <w:p>
      <w:pPr>
        <w:pStyle w:val="S4"/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при неудовлетворительном техническом состоянии объекта и одновременном излишке проектной мощности,</w:t>
      </w:r>
    </w:p>
    <w:p>
      <w:pPr>
        <w:pStyle w:val="S4"/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уже запланированном мероприятии (согласно Бюджетной росписи на 2008 год по Министерству строительства и архитектуры Республики Мордовия и прогнозу по вводу в эксплуатацию объектов социального значения на 2009-2011гг.),</w:t>
      </w:r>
    </w:p>
    <w:p>
      <w:pPr>
        <w:pStyle w:val="S4"/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наличии излишней площади у объекта и возможности разместить при нем дополнительное учреждение.</w:t>
      </w:r>
    </w:p>
    <w:p>
      <w:pPr>
        <w:pStyle w:val="S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Перепрофилирование предусмотрено в случае необходимости расширения или сужения перечня предоставляемых услуг.</w:t>
      </w:r>
    </w:p>
    <w:p>
      <w:pPr>
        <w:pStyle w:val="Normal"/>
        <w:overflowPunct w:val="false"/>
        <w:spacing w:lineRule="auto" w:line="360" w:before="0" w:after="0"/>
        <w:ind w:right="21"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Татарско-Тавлинском сельском поселении функционирует 1 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  <w:lang w:eastAsia="ru-RU"/>
        </w:rPr>
        <w:t>общеобразовательная 11-ти летняя школа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проектной мощностью на 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  <w:lang w:eastAsia="ru-RU"/>
        </w:rPr>
        <w:t>150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мест. Школа обеспечивает потребности населения. Требуется её реконструкция и техническое переоснащение.</w:t>
      </w:r>
    </w:p>
    <w:p>
      <w:pPr>
        <w:pStyle w:val="Normal"/>
        <w:spacing w:lineRule="auto" w:line="360" w:before="0" w:after="0"/>
        <w:ind w:right="22" w:firstLine="72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Вследствие предполагаемого роста рождаемости проблема необеспеченности детскими садами в последующие годы будет усугубляться, поэтому очевидна необходимость принятия мер (с активным вовлечением средств бюджета) по увеличению мест в детских садах (в том числе строительство новых объектов, замена ветхих зданий). </w:t>
      </w:r>
      <w:r>
        <w:rPr>
          <w:rFonts w:cs="Times New Roman" w:ascii="Times New Roman" w:hAnsi="Times New Roman"/>
          <w:sz w:val="28"/>
          <w:szCs w:val="28"/>
        </w:rPr>
        <w:t>Кроме того, для решения кадровой проблемы обеспеченности детских садов специалистами при малокомплектных детских садах необходимо предусматривать квартиру для специалиста.</w:t>
      </w:r>
    </w:p>
    <w:p>
      <w:pPr>
        <w:pStyle w:val="Normal"/>
        <w:spacing w:lineRule="auto" w:line="360" w:before="0" w:after="0"/>
        <w:ind w:right="22" w:firstLine="72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При учреждении здравоохранения в административном центре муниципального образования района необходимо организовывать выдвижной пункт скорой медицинской помощи, для своевременного оказания помощи и транспортировки в больничное учреждение. </w:t>
      </w:r>
    </w:p>
    <w:p>
      <w:pPr>
        <w:pStyle w:val="Normal"/>
        <w:spacing w:lineRule="auto" w:line="360" w:before="0" w:after="0"/>
        <w:ind w:right="22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целях решения кадровой проблемы обеспеченности населения медицинскими специалистами проектом предлагается организовывать при ФАПе  квартиру для специалиста, либо предоставлять специалистам, переезжающим на работу в сельское поселение отдельное жилье.</w:t>
      </w:r>
    </w:p>
    <w:p>
      <w:pPr>
        <w:pStyle w:val="Normal"/>
        <w:tabs>
          <w:tab w:val="left" w:pos="993" w:leader="none"/>
        </w:tabs>
        <w:spacing w:lineRule="auto" w:line="360" w:before="0" w:after="0"/>
        <w:ind w:right="22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Расчетная мощность ФАП в </w:t>
      </w:r>
      <w:r>
        <w:rPr>
          <w:rFonts w:cs="Times New Roman" w:ascii="Times New Roman" w:hAnsi="Times New Roman"/>
          <w:color w:val="000000"/>
          <w:sz w:val="28"/>
          <w:szCs w:val="28"/>
        </w:rPr>
        <w:t>с. Татарская Тавла</w:t>
      </w:r>
      <w:r>
        <w:rPr>
          <w:rFonts w:cs="Times New Roman" w:ascii="Times New Roman" w:hAnsi="Times New Roman"/>
          <w:sz w:val="28"/>
          <w:szCs w:val="28"/>
        </w:rPr>
        <w:t xml:space="preserve">  - 10 посещений в смену, фактическая – 6 посещений в смену.</w:t>
      </w:r>
    </w:p>
    <w:p>
      <w:pPr>
        <w:pStyle w:val="Normal"/>
        <w:tabs>
          <w:tab w:val="left" w:pos="993" w:leader="none"/>
        </w:tabs>
        <w:spacing w:lineRule="auto" w:line="360" w:before="0" w:after="0"/>
        <w:ind w:right="22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Следовательно ФАП в Татарско-Тавлинском сельском поселении обеспечивает потребности населения.</w:t>
      </w:r>
    </w:p>
    <w:p>
      <w:pPr>
        <w:pStyle w:val="Normal"/>
        <w:overflowPunct w:val="false"/>
        <w:spacing w:lineRule="auto" w:line="360" w:before="0" w:after="0"/>
        <w:ind w:right="22"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Татарско-Тавлинском сельском поселении действует Муниципальное учреждение культуры «Татарско-Тавлинский культурно-досуговый центр», в которое входит сельский клуб Татарско-Тавлинский.</w:t>
      </w:r>
    </w:p>
    <w:p>
      <w:pPr>
        <w:pStyle w:val="Normal"/>
        <w:overflowPunct w:val="false"/>
        <w:spacing w:lineRule="auto" w:line="360" w:before="0" w:after="0"/>
        <w:ind w:right="22"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Данное учреждение нуждается в реконструкции зданий и техническом переоснащении, отвечающим современным требованиям.</w:t>
      </w:r>
    </w:p>
    <w:p>
      <w:pPr>
        <w:pStyle w:val="Normal"/>
        <w:spacing w:lineRule="auto" w:line="360" w:before="0" w:after="0"/>
        <w:ind w:right="22" w:firstLine="72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Существующий спортивный зал, размещенный в школе, решено сохранить без изменения их проектных параметров. Требуется замена старого спортивного инвентаря на новое.</w:t>
      </w:r>
    </w:p>
    <w:p>
      <w:pPr>
        <w:pStyle w:val="Normal"/>
        <w:spacing w:lineRule="auto" w:line="360" w:before="0" w:after="0"/>
        <w:ind w:right="22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С целью создания условий для проведения  регулярных занятий физической культурой и спортом необходимо организовать оборудованные спортивные площадки.</w:t>
      </w:r>
      <w:r>
        <w:br w:type="page"/>
      </w:r>
    </w:p>
    <w:p>
      <w:pPr>
        <w:pStyle w:val="ListParagraph"/>
        <w:numPr>
          <w:ilvl w:val="0"/>
          <w:numId w:val="0"/>
        </w:numPr>
        <w:spacing w:lineRule="auto" w:line="360" w:before="0" w:after="160"/>
        <w:ind w:left="644" w:hanging="0"/>
        <w:contextualSpacing/>
        <w:jc w:val="both"/>
        <w:outlineLvl w:val="0"/>
        <w:rPr>
          <w:b/>
          <w:b/>
          <w:szCs w:val="28"/>
        </w:rPr>
      </w:pPr>
      <w:bookmarkStart w:id="98" w:name="_Toc470680102"/>
      <w:r>
        <w:rPr>
          <w:rFonts w:cs="Times New Roman" w:ascii="Times New Roman" w:hAnsi="Times New Roman"/>
          <w:b/>
          <w:sz w:val="28"/>
          <w:szCs w:val="28"/>
        </w:rPr>
        <w:t>2. Перспективные показатели спроса на коммунальные ресурсы</w:t>
      </w:r>
      <w:bookmarkEnd w:id="98"/>
      <w:r>
        <w:rPr>
          <w:b/>
          <w:szCs w:val="28"/>
        </w:rPr>
        <w:t xml:space="preserve"> </w:t>
      </w:r>
    </w:p>
    <w:p>
      <w:pPr>
        <w:pStyle w:val="Normal"/>
        <w:spacing w:lineRule="auto" w:line="360" w:before="0" w:after="20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Прогноз спроса по каждому из коммунальных ресурсов по Татарско-Тавлинскому сельскому поселению произведен на основании следующих показателей:</w:t>
      </w:r>
    </w:p>
    <w:p>
      <w:pPr>
        <w:pStyle w:val="Normal"/>
        <w:spacing w:lineRule="auto" w:line="360" w:before="0" w:after="20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прогнозная численность постоянного населения в 2027 г. – 810 чел.;</w:t>
      </w:r>
    </w:p>
    <w:p>
      <w:pPr>
        <w:pStyle w:val="Normal"/>
        <w:spacing w:lineRule="auto" w:line="360" w:before="0"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установленное потребление коммунальных услуг в соответствии со схемами энерго- и ресурсоснабжения. 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Электроснабжение</w:t>
      </w:r>
    </w:p>
    <w:p>
      <w:pPr>
        <w:pStyle w:val="Normal"/>
        <w:overflowPunct w:val="false"/>
        <w:spacing w:lineRule="auto" w:line="360" w:before="0" w:after="0"/>
        <w:ind w:firstLine="454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Темп роста объема полезного отпуска электрической энергии потребителям не увеличится к 2027 году, в связи с тем, что планирование расширения промышленной  базы не предвидится, и  снижением численности населения.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Теплоснабжение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поселении отсутствует система централизованного теплоснабжения. Уровень спроса не имеет тенденции к строительству.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Газоснабжение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расчётный период развитие инфраструктуры газификации Татарско-Тавлинского сельского поселения не намечается.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Водоснабжение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Существующая система водоснабжения удовлетворяет нуждам населения. Роста спроса не предвидится. Необходимыми являются мероприятия по реконструкции имеющихся сетей. </w:t>
      </w:r>
    </w:p>
    <w:p>
      <w:pPr>
        <w:pStyle w:val="Normal"/>
        <w:spacing w:lineRule="auto" w:line="360" w:before="0" w:after="0"/>
        <w:jc w:val="both"/>
        <w:rPr>
          <w:rFonts w:ascii="Calibri" w:hAnsi="Calibri" w:eastAsia="Calibri" w:cs="" w:asciiTheme="minorHAnsi" w:cstheme="minorBidi" w:eastAsiaTheme="minorHAnsi" w:hAnsiTheme="minorHAnsi"/>
          <w:highlight w:val="yellow"/>
        </w:rPr>
      </w:pPr>
      <w:r>
        <w:rPr>
          <w:rFonts w:cs="Times New Roman" w:ascii="Times New Roman" w:hAnsi="Times New Roman"/>
          <w:i/>
          <w:sz w:val="28"/>
          <w:szCs w:val="28"/>
          <w:highlight w:val="yellow"/>
        </w:rPr>
        <w:t xml:space="preserve">Водоотведение     </w:t>
      </w:r>
      <w:r>
        <w:rPr>
          <w:rFonts w:cs="Times New Roman" w:ascii="Times New Roman" w:hAnsi="Times New Roman"/>
          <w:b/>
          <w:bCs/>
          <w:i/>
          <w:sz w:val="28"/>
          <w:szCs w:val="28"/>
          <w:highlight w:val="yellow"/>
        </w:rPr>
        <w:t xml:space="preserve"> не существует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highlight w:val="yellow"/>
        </w:rPr>
        <w:t xml:space="preserve">Существующая система водоотведения удовлетворяет нуждам населения. 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  <w:lang w:eastAsia="ru-RU"/>
        </w:rPr>
        <w:t xml:space="preserve">В соответствии с нуждами граждан и предприятий промышленной зоны нет необходимости строительства дополнительных очистных сооружений.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sz w:val="28"/>
          <w:szCs w:val="28"/>
          <w:highlight w:val="yellow"/>
        </w:rPr>
      </w:pPr>
      <w:r>
        <w:rPr>
          <w:rFonts w:cs="Times New Roman" w:ascii="Times New Roman" w:hAnsi="Times New Roman"/>
          <w:i/>
          <w:sz w:val="28"/>
          <w:szCs w:val="28"/>
          <w:highlight w:val="yellow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Утилизация ТБО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 xml:space="preserve">На территории </w:t>
      </w:r>
      <w:r>
        <w:rPr>
          <w:rFonts w:cs="Times New Roman" w:ascii="Times New Roman" w:hAnsi="Times New Roman"/>
          <w:sz w:val="28"/>
          <w:szCs w:val="28"/>
        </w:rPr>
        <w:t>Татарско-Тавлинского</w:t>
      </w:r>
      <w:r>
        <w:rPr>
          <w:rFonts w:eastAsia="Times New Roman" w:cs="Times New Roman" w:ascii="Times New Roman" w:hAnsi="Times New Roman"/>
          <w:bCs/>
          <w:sz w:val="28"/>
          <w:szCs w:val="20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>сельского поселения уже имеются контейнерные площадки и контейнеры.</w:t>
      </w:r>
      <w:r>
        <w:rPr/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Проектом предусматривается сохранение текущей системы сбора и утилизации бытовых отходов.</w:t>
      </w:r>
    </w:p>
    <w:p>
      <w:pPr>
        <w:pStyle w:val="Normal"/>
        <w:spacing w:before="0" w:after="0"/>
        <w:rPr>
          <w:rFonts w:ascii="Times New Roman" w:hAnsi="Times New Roman" w:eastAsia="Calibri" w:cs="Times New Roman"/>
          <w:color w:val="0D0D0D"/>
          <w:sz w:val="28"/>
          <w:szCs w:val="28"/>
          <w:lang w:eastAsia="zh-CN"/>
        </w:rPr>
      </w:pPr>
      <w:r>
        <w:rPr>
          <w:rFonts w:eastAsia="Calibri" w:cs="Times New Roman" w:ascii="Times New Roman" w:hAnsi="Times New Roman"/>
          <w:color w:val="0D0D0D"/>
          <w:sz w:val="28"/>
          <w:szCs w:val="28"/>
          <w:lang w:eastAsia="zh-CN"/>
        </w:rPr>
      </w:r>
      <w:r>
        <w:br w:type="page"/>
      </w:r>
    </w:p>
    <w:p>
      <w:pPr>
        <w:pStyle w:val="1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Cs w:val="20"/>
          <w:lang w:eastAsia="ru-RU"/>
        </w:rPr>
      </w:pPr>
      <w:bookmarkStart w:id="99" w:name="_Toc470680103"/>
      <w:r>
        <w:rPr>
          <w:rFonts w:cs="Times New Roman" w:ascii="Times New Roman" w:hAnsi="Times New Roman"/>
          <w:color w:val="000000" w:themeColor="text1"/>
        </w:rPr>
        <w:t>3. Характеристика состояния и проблем коммунальной инфраструктуры</w:t>
      </w:r>
      <w:bookmarkEnd w:id="99"/>
      <w:r>
        <w:rPr>
          <w:rFonts w:eastAsia="Times New Roman" w:cs="Times New Roman" w:ascii="Times New Roman" w:hAnsi="Times New Roman"/>
          <w:color w:val="000000" w:themeColor="text1"/>
          <w:szCs w:val="20"/>
          <w:lang w:eastAsia="ru-RU"/>
        </w:rPr>
        <w:t xml:space="preserve"> </w:t>
      </w:r>
    </w:p>
    <w:p>
      <w:pPr>
        <w:pStyle w:val="Style18"/>
        <w:numPr>
          <w:ilvl w:val="0"/>
          <w:numId w:val="0"/>
        </w:numPr>
        <w:spacing w:lineRule="auto" w:line="360"/>
        <w:ind w:right="22" w:firstLine="720"/>
        <w:jc w:val="both"/>
        <w:outlineLvl w:val="1"/>
        <w:rPr>
          <w:b/>
          <w:b/>
          <w:color w:val="000000" w:themeColor="text1"/>
          <w:szCs w:val="28"/>
        </w:rPr>
      </w:pPr>
      <w:bookmarkStart w:id="100" w:name="_Toc470606298"/>
      <w:bookmarkStart w:id="101" w:name="_Toc470680104"/>
      <w:r>
        <w:rPr>
          <w:rFonts w:eastAsia="Calibri"/>
          <w:b/>
          <w:color w:val="000000" w:themeColor="text1"/>
          <w:szCs w:val="28"/>
        </w:rPr>
        <w:t>3.1.</w:t>
      </w:r>
      <w:bookmarkEnd w:id="100"/>
      <w:bookmarkEnd w:id="101"/>
      <w:r>
        <w:rPr>
          <w:b/>
          <w:color w:val="000000" w:themeColor="text1"/>
          <w:szCs w:val="28"/>
        </w:rPr>
        <w:t xml:space="preserve"> Водоснабжение</w:t>
      </w:r>
    </w:p>
    <w:p>
      <w:pPr>
        <w:pStyle w:val="Style18"/>
        <w:spacing w:lineRule="auto" w:line="360"/>
        <w:ind w:right="22" w:firstLine="720"/>
        <w:jc w:val="both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overflowPunct w:val="false"/>
        <w:spacing w:lineRule="auto" w:line="360" w:before="0" w:after="0"/>
        <w:ind w:right="22"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  <w:t xml:space="preserve">Центральное водоснабжение имеет  все село Татарская Тавла. Водозаборные узлы в с. Татарская Тавла используются для нужд населения и водоснабжения с/х объектов. </w:t>
      </w:r>
      <w:r>
        <w:rPr>
          <w:rFonts w:cs="Times New Roman" w:ascii="Times New Roman" w:hAnsi="Times New Roman"/>
          <w:sz w:val="28"/>
          <w:szCs w:val="28"/>
        </w:rPr>
        <w:t>В Татарско-Тавлинском сельском поселении существует централизованная система хозяйственно-питьевого водоснабжения. Обеспеченность населения централизованным водоснабжением составляет 34,28 %. Источником водоснабжения  Татарско-Тавлинского сельского поселения служит одна скважина.</w:t>
      </w:r>
    </w:p>
    <w:p>
      <w:pPr>
        <w:pStyle w:val="NoSpacing"/>
        <w:ind w:hanging="0"/>
        <w:rPr>
          <w:rFonts w:cs="Times New Roman"/>
          <w:szCs w:val="28"/>
        </w:rPr>
      </w:pPr>
      <w:r>
        <w:rPr>
          <w:rFonts w:cs="Times New Roman"/>
          <w:szCs w:val="28"/>
        </w:rPr>
      </w:r>
    </w:p>
    <w:p>
      <w:pPr>
        <w:pStyle w:val="NoSpacing"/>
        <w:ind w:hanging="0"/>
        <w:rPr>
          <w:rFonts w:cs="Times New Roman"/>
          <w:szCs w:val="28"/>
        </w:rPr>
      </w:pPr>
      <w:r>
        <w:rPr>
          <w:rFonts w:cs="Times New Roman"/>
          <w:szCs w:val="28"/>
        </w:rPr>
        <w:t>Таблица 8</w:t>
      </w:r>
    </w:p>
    <w:p>
      <w:pPr>
        <w:pStyle w:val="NoSpacing"/>
        <w:ind w:hanging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Общая характеристика скважин</w:t>
      </w:r>
    </w:p>
    <w:tbl>
      <w:tblPr>
        <w:tblW w:w="9463" w:type="dxa"/>
        <w:jc w:val="left"/>
        <w:tblInd w:w="9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34"/>
        <w:gridCol w:w="2396"/>
        <w:gridCol w:w="1749"/>
        <w:gridCol w:w="3083"/>
      </w:tblGrid>
      <w:tr>
        <w:trPr/>
        <w:tc>
          <w:tcPr>
            <w:tcW w:w="2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п.п.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скважины</w:t>
            </w: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Год постройки</w:t>
            </w:r>
          </w:p>
        </w:tc>
        <w:tc>
          <w:tcPr>
            <w:tcW w:w="30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Примечание</w:t>
            </w:r>
          </w:p>
        </w:tc>
      </w:tr>
      <w:tr>
        <w:trPr>
          <w:trHeight w:val="96" w:hRule="atLeast"/>
        </w:trPr>
        <w:tc>
          <w:tcPr>
            <w:tcW w:w="2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Б/Н</w:t>
            </w:r>
          </w:p>
        </w:tc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1990</w:t>
            </w:r>
          </w:p>
        </w:tc>
        <w:tc>
          <w:tcPr>
            <w:tcW w:w="30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Задействована в работе</w:t>
            </w:r>
          </w:p>
        </w:tc>
      </w:tr>
    </w:tbl>
    <w:p>
      <w:pPr>
        <w:pStyle w:val="Normal"/>
        <w:overflowPunct w:val="false"/>
        <w:spacing w:lineRule="auto" w:line="360" w:before="0" w:after="0"/>
        <w:ind w:right="22" w:firstLine="720"/>
        <w:jc w:val="both"/>
        <w:rPr>
          <w:rFonts w:ascii="Times New Roman" w:hAnsi="Times New Roman"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0"/>
          <w:lang w:eastAsia="ru-RU"/>
        </w:rPr>
      </w:r>
    </w:p>
    <w:p>
      <w:pPr>
        <w:pStyle w:val="Normal"/>
        <w:overflowPunct w:val="false"/>
        <w:spacing w:lineRule="auto" w:line="360" w:before="0" w:after="0"/>
        <w:ind w:right="22"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Данные объекты водоснабжения соответствуют  полностью требованиям санитарных норм и правил.</w:t>
      </w:r>
    </w:p>
    <w:p>
      <w:pPr>
        <w:pStyle w:val="Normal"/>
        <w:overflowPunct w:val="false"/>
        <w:spacing w:lineRule="auto" w:line="360" w:before="0" w:after="0"/>
        <w:ind w:right="22"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Эксплуатируемые источники имеют нормативные размеры зон санитарной охраны в соответствии с СанПин 2.1.4.1110-02.</w:t>
      </w:r>
    </w:p>
    <w:p>
      <w:pPr>
        <w:pStyle w:val="Normal"/>
        <w:overflowPunct w:val="false"/>
        <w:spacing w:lineRule="auto" w:line="360" w:before="0" w:after="0"/>
        <w:ind w:right="22"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Зоны санитарной охраны источников водоснабжения и водопроводов хозяйственно-питьевого назначения. Зоны строгого режима не отражены, оголовки скважин находятся в удовлетворительном состоянии. Водоразборные колонки  не разбиты, смотровые колодцы не  заполняются талыми и дождевыми водами.</w:t>
      </w:r>
    </w:p>
    <w:p>
      <w:pPr>
        <w:pStyle w:val="Style18"/>
        <w:spacing w:lineRule="auto" w:line="360"/>
        <w:ind w:right="22" w:firstLine="720"/>
        <w:jc w:val="both"/>
        <w:rPr>
          <w:szCs w:val="28"/>
        </w:rPr>
      </w:pPr>
      <w:r>
        <w:rPr>
          <w:szCs w:val="28"/>
        </w:rPr>
        <w:t>Физическое состояние сетей удовлетворительное, износ 45%. По причине высокой изношенности аварийность растет.</w:t>
      </w:r>
    </w:p>
    <w:p>
      <w:pPr>
        <w:pStyle w:val="Style18"/>
        <w:spacing w:lineRule="auto" w:line="360"/>
        <w:ind w:right="22" w:firstLine="720"/>
        <w:jc w:val="both"/>
        <w:rPr>
          <w:rFonts w:eastAsia="Calibri"/>
          <w:b/>
          <w:b/>
          <w:szCs w:val="28"/>
        </w:rPr>
      </w:pPr>
      <w:r>
        <w:rPr>
          <w:rFonts w:eastAsia="Calibri"/>
          <w:b/>
          <w:szCs w:val="28"/>
        </w:rPr>
      </w:r>
    </w:p>
    <w:p>
      <w:pPr>
        <w:pStyle w:val="Style18"/>
        <w:spacing w:lineRule="auto" w:line="360"/>
        <w:ind w:right="22" w:firstLine="720"/>
        <w:jc w:val="both"/>
        <w:rPr>
          <w:rFonts w:eastAsia="Calibri"/>
          <w:b/>
          <w:b/>
          <w:szCs w:val="28"/>
        </w:rPr>
      </w:pPr>
      <w:r>
        <w:rPr>
          <w:rFonts w:eastAsia="Calibri"/>
          <w:b/>
          <w:szCs w:val="28"/>
        </w:rPr>
      </w:r>
    </w:p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bookmarkStart w:id="102" w:name="_Toc470680105"/>
      <w:bookmarkEnd w:id="102"/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3.2 Газоснабжение</w:t>
      </w:r>
    </w:p>
    <w:p>
      <w:pPr>
        <w:pStyle w:val="Normal"/>
        <w:overflowPunct w:val="false"/>
        <w:spacing w:lineRule="auto" w:line="360" w:before="0" w:after="0"/>
        <w:ind w:right="180" w:firstLine="72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S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Уровень газификации - 100%. В селе появилась новая улица, нуждающаяся в газификации. Подключение новых домов осуществляется за счет средств домовладельцев. </w:t>
      </w:r>
    </w:p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</w:r>
    </w:p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bookmarkStart w:id="103" w:name="_Toc470606299"/>
      <w:bookmarkStart w:id="104" w:name="_Toc470680106"/>
      <w:bookmarkEnd w:id="103"/>
      <w:bookmarkEnd w:id="104"/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3.3 Электроснабжение</w:t>
      </w:r>
    </w:p>
    <w:p>
      <w:pPr>
        <w:pStyle w:val="Normal"/>
        <w:overflowPunct w:val="false"/>
        <w:spacing w:lineRule="auto" w:line="360" w:before="0" w:after="0"/>
        <w:ind w:right="22" w:firstLine="72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overflowPunct w:val="false"/>
        <w:spacing w:lineRule="auto" w:line="360" w:before="0" w:after="0"/>
        <w:ind w:right="22"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Собственных источников электроснабжения Татарско-Тавлинское сельское поселение не имеет, поэтому электроснабжение осуществляется от системы «Мордовэнерго» через опорные подстанции 110/10 кВ.</w:t>
      </w:r>
    </w:p>
    <w:p>
      <w:pPr>
        <w:pStyle w:val="Normal"/>
        <w:overflowPunct w:val="false"/>
        <w:spacing w:lineRule="auto" w:line="360" w:before="0" w:after="0"/>
        <w:ind w:right="22"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Распределение электроэнергии между потребителями поселения осуществляется на напряжение 10 кВ.</w:t>
      </w:r>
    </w:p>
    <w:p>
      <w:pPr>
        <w:pStyle w:val="Normal"/>
        <w:overflowPunct w:val="false"/>
        <w:spacing w:lineRule="auto" w:line="360" w:before="0" w:after="0"/>
        <w:ind w:right="22"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Существующая схема высоковольтных электрических сетей обеспечивает надёжное электроснабжение поселения. Основной проблемой является изношенность распределительных электрических сетей.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Годовое потребление электроэнергии Татарско-Тавлинского сельского поселения составляет - 0,24 млн. кВт*ч.</w:t>
      </w:r>
    </w:p>
    <w:p>
      <w:pPr>
        <w:pStyle w:val="Normal"/>
        <w:overflowPunct w:val="false"/>
        <w:spacing w:lineRule="auto" w:line="360" w:before="0" w:after="0"/>
        <w:ind w:right="180" w:firstLine="72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2"/>
        <w:spacing w:lineRule="auto" w:line="360" w:before="0" w:after="0"/>
        <w:ind w:firstLine="709"/>
        <w:rPr>
          <w:rFonts w:ascii="Times New Roman" w:hAnsi="Times New Roman" w:eastAsia="Calibri" w:cs="Times New Roman"/>
          <w:color w:val="000000" w:themeColor="text1"/>
          <w:spacing w:val="0"/>
          <w:sz w:val="28"/>
          <w:szCs w:val="28"/>
        </w:rPr>
      </w:pPr>
      <w:bookmarkStart w:id="105" w:name="_Toc470606300"/>
      <w:bookmarkStart w:id="106" w:name="_Toc470680107"/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3.4</w:t>
      </w:r>
      <w:r>
        <w:rPr>
          <w:rFonts w:eastAsia="Calibri" w:cs="Times New Roman" w:ascii="Times New Roman" w:hAnsi="Times New Roman"/>
          <w:color w:val="000000" w:themeColor="text1"/>
          <w:spacing w:val="0"/>
          <w:sz w:val="28"/>
          <w:szCs w:val="28"/>
        </w:rPr>
        <w:t xml:space="preserve"> Система  сбора и утилизации ТБО</w:t>
      </w:r>
      <w:bookmarkEnd w:id="105"/>
      <w:bookmarkEnd w:id="106"/>
      <w:r>
        <w:rPr>
          <w:rFonts w:eastAsia="Calibri" w:cs="Times New Roman" w:ascii="Times New Roman" w:hAnsi="Times New Roman"/>
          <w:color w:val="000000" w:themeColor="text1"/>
          <w:spacing w:val="0"/>
          <w:sz w:val="28"/>
          <w:szCs w:val="28"/>
        </w:rPr>
        <w:t xml:space="preserve"> </w:t>
      </w:r>
    </w:p>
    <w:p>
      <w:pPr>
        <w:pStyle w:val="Normal"/>
        <w:overflowPunct w:val="false"/>
        <w:spacing w:lineRule="auto" w:line="360" w:before="0" w:after="0"/>
        <w:ind w:right="22" w:firstLine="709"/>
        <w:jc w:val="both"/>
        <w:textAlignment w:val="baseline"/>
        <w:rPr>
          <w:rFonts w:ascii="Times New Roman" w:hAnsi="Times New Roman" w:eastAsia="Calibri" w:cs="Times New Roman"/>
          <w:b/>
          <w:b/>
          <w:spacing w:val="0"/>
          <w:sz w:val="28"/>
          <w:szCs w:val="28"/>
        </w:rPr>
      </w:pPr>
      <w:r>
        <w:rPr>
          <w:rFonts w:eastAsia="Calibri" w:cs="Times New Roman" w:ascii="Times New Roman" w:hAnsi="Times New Roman"/>
          <w:b/>
          <w:spacing w:val="0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highlight w:val="yellow"/>
        </w:rPr>
        <w:t xml:space="preserve">На территории Татарско-Тавлинского сельского поселения находится 2 контейнерных площадки для сбора ТКО, с расположенными на них 2 контейнерами, и 1 бункер которые обслуживают </w:t>
      </w:r>
      <w:r>
        <w:rPr>
          <w:rFonts w:cs="Times New Roman" w:ascii="Times New Roman" w:hAnsi="Times New Roman"/>
          <w:color w:val="000000" w:themeColor="text1"/>
          <w:sz w:val="28"/>
          <w:szCs w:val="28"/>
          <w:highlight w:val="yellow"/>
        </w:rPr>
        <w:t xml:space="preserve">861 </w:t>
      </w:r>
      <w:r>
        <w:rPr>
          <w:rFonts w:cs="Times New Roman" w:ascii="Times New Roman" w:hAnsi="Times New Roman"/>
          <w:sz w:val="28"/>
          <w:szCs w:val="28"/>
          <w:highlight w:val="yellow"/>
        </w:rPr>
        <w:t>жителя.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настоящее время применяются контейнеры вместимостью 1,1 м3. Владельцами контейнерных площадок являются ООО «РЕМОНДИС Саранск». Услуги по сбору и транспортировке ТКО оказывают соответственно ООО «РЕМОНДИС Саранск».</w:t>
      </w:r>
    </w:p>
    <w:p>
      <w:pPr>
        <w:pStyle w:val="Normal"/>
        <w:overflowPunct w:val="false"/>
        <w:spacing w:lineRule="auto" w:line="360" w:before="0" w:after="0"/>
        <w:ind w:right="22" w:firstLine="72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bookmarkStart w:id="107" w:name="_Toc470606301"/>
      <w:bookmarkStart w:id="108" w:name="_Toc470680108"/>
      <w:bookmarkEnd w:id="107"/>
      <w:bookmarkEnd w:id="108"/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lang w:eastAsia="ru-RU"/>
        </w:rPr>
        <w:t>3.5 Канализация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overflowPunct w:val="false"/>
        <w:spacing w:lineRule="auto" w:line="360" w:before="0" w:after="0"/>
        <w:ind w:right="22"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Центральной канализационной системы Татарско-Тавлинское сельское поселение не имеет. В школе хоз.- бытовые стоки осуществляются самотеком в емкость для сбора стоков с последующим вывозом в места, отведенные санэпидемстанцией.</w:t>
      </w:r>
    </w:p>
    <w:p>
      <w:pPr>
        <w:pStyle w:val="Normal"/>
        <w:overflowPunct w:val="false"/>
        <w:spacing w:lineRule="auto" w:line="360" w:before="0" w:after="0"/>
        <w:ind w:right="180" w:firstLine="72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2"/>
        <w:spacing w:lineRule="auto" w:line="360" w:before="0" w:after="0"/>
        <w:ind w:firstLine="709"/>
        <w:jc w:val="both"/>
        <w:rPr>
          <w:color w:themeColor="text1"/>
          <w:highlight w:val="yellow"/>
        </w:rPr>
      </w:pPr>
      <w:bookmarkStart w:id="109" w:name="_Toc470680109"/>
      <w:bookmarkEnd w:id="109"/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highlight w:val="yellow"/>
          <w:lang w:eastAsia="ru-RU"/>
        </w:rPr>
        <w:t>3.6  Газоснабжение        уже 3,2</w:t>
      </w:r>
    </w:p>
    <w:p>
      <w:pPr>
        <w:pStyle w:val="Normal"/>
        <w:overflowPunct w:val="false"/>
        <w:spacing w:lineRule="auto" w:line="360" w:before="0" w:after="0"/>
        <w:ind w:right="180" w:firstLine="72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S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Уровень газификации - 100%. Подключение новых домов осуществляется счет средств домовладельцев. </w:t>
      </w:r>
    </w:p>
    <w:p>
      <w:pPr>
        <w:pStyle w:val="Normal"/>
        <w:rPr>
          <w:b/>
          <w:b/>
        </w:rPr>
      </w:pPr>
      <w:r>
        <w:rPr>
          <w:b/>
        </w:rPr>
      </w:r>
      <w:r>
        <w:br w:type="page"/>
      </w:r>
    </w:p>
    <w:p>
      <w:pPr>
        <w:pStyle w:val="1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lang w:eastAsia="ru-RU"/>
        </w:rPr>
      </w:pPr>
      <w:bookmarkStart w:id="110" w:name="_Toc470680110"/>
      <w:r>
        <w:rPr>
          <w:rFonts w:eastAsia="Times New Roman" w:cs="Times New Roman" w:ascii="Times New Roman" w:hAnsi="Times New Roman"/>
          <w:color w:val="auto"/>
          <w:szCs w:val="20"/>
          <w:lang w:eastAsia="ru-RU"/>
        </w:rPr>
        <w:t xml:space="preserve">4. </w:t>
      </w:r>
      <w:bookmarkEnd w:id="110"/>
      <w:r>
        <w:rPr>
          <w:rFonts w:eastAsia="Times New Roman" w:cs="Times New Roman" w:ascii="Times New Roman" w:hAnsi="Times New Roman"/>
          <w:color w:val="auto"/>
          <w:lang w:eastAsia="ru-RU"/>
        </w:rPr>
        <w:t>Характеристика состояния и проблем в реализации энергосбережения, ресурсосбережения и учета сбора информации</w:t>
      </w:r>
    </w:p>
    <w:p>
      <w:pPr>
        <w:pStyle w:val="Normal"/>
        <w:overflowPunct w:val="false"/>
        <w:spacing w:lineRule="auto" w:line="36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b/>
          <w:b/>
          <w:color w:val="auto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auto"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color w:val="auto"/>
          <w:sz w:val="28"/>
          <w:szCs w:val="28"/>
          <w:lang w:eastAsia="ru-RU"/>
        </w:rPr>
        <w:t xml:space="preserve">На сегодняшний день разработан Регламент Татарско-Тавлинского  сельского поселения. Градостроительные регламенты для правил землепользования и застройки разработаны для осуществления </w:t>
      </w:r>
      <w:r>
        <w:rPr>
          <w:rFonts w:eastAsia="Calibri" w:cs="Times New Roman" w:ascii="Times New Roman" w:hAnsi="Times New Roman"/>
          <w:color w:val="auto"/>
          <w:sz w:val="28"/>
          <w:szCs w:val="28"/>
          <w:lang w:eastAsia="ru-RU"/>
        </w:rPr>
        <w:t>градостроительной деятельности на территории Татарско-Тавлинского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 xml:space="preserve">  сельского поселения Лямбирского  муниципального района Республики Мордовия.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В соответствии Концепцией федеральной целевой программы "Устойчивое развитие сельских территорий на 2014 - 2017 годы и на период до 2020 года»,  в соответствии с которой одним из главных направлений развития аграрного и рыбохозяйственного комплексов является создание предпосылок для устойчивого развития сельских территорий,  включая:</w:t>
      </w:r>
    </w:p>
    <w:p>
      <w:pPr>
        <w:pStyle w:val="Normal"/>
        <w:numPr>
          <w:ilvl w:val="0"/>
          <w:numId w:val="2"/>
        </w:numPr>
        <w:overflowPunct w:val="false"/>
        <w:spacing w:lineRule="auto" w:line="360" w:before="0" w:after="0"/>
        <w:ind w:left="786" w:right="0" w:hanging="360"/>
        <w:jc w:val="both"/>
        <w:textAlignment w:val="baseline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развитие социальной инфраструктуры и инженерного обустройства сельских поселений;</w:t>
      </w:r>
    </w:p>
    <w:p>
      <w:pPr>
        <w:pStyle w:val="Normal"/>
        <w:numPr>
          <w:ilvl w:val="0"/>
          <w:numId w:val="2"/>
        </w:numPr>
        <w:overflowPunct w:val="false"/>
        <w:spacing w:lineRule="auto" w:line="360" w:before="0" w:after="0"/>
        <w:ind w:left="786" w:right="0" w:hanging="360"/>
        <w:jc w:val="both"/>
        <w:textAlignment w:val="baseline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улучшение жилищных условий сельского населения, поддержка комплексной компактной застройки и благоустройство сельских поселений.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 период действия Программы планируется выполнить следующие показатели: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- приведение в нормативное состояние теплосети, водоснабжения, водоотведения и газовой сети;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увеличение объемов финансовых вложений в развитие благоустройства и содержание территории Татарско-Тавлинского  сельского поселения.</w:t>
      </w:r>
    </w:p>
    <w:p>
      <w:pPr>
        <w:pStyle w:val="Normal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  <w:r>
        <w:br w:type="page"/>
      </w:r>
    </w:p>
    <w:p>
      <w:pPr>
        <w:pStyle w:val="1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color w:val="000000" w:themeColor="text1"/>
        </w:rPr>
      </w:pPr>
      <w:bookmarkStart w:id="111" w:name="_Toc470680111"/>
      <w:r>
        <w:rPr>
          <w:rFonts w:eastAsia="Calibri" w:cs="Times New Roman" w:ascii="Times New Roman" w:hAnsi="Times New Roman"/>
          <w:color w:val="000000" w:themeColor="text1"/>
        </w:rPr>
        <w:t>5. Целевые показатели развития коммунальной инфраструктуры</w:t>
      </w:r>
      <w:bookmarkEnd w:id="111"/>
      <w:r>
        <w:rPr>
          <w:rFonts w:eastAsia="Calibri" w:cs="Times New Roman" w:ascii="Times New Roman" w:hAnsi="Times New Roman"/>
          <w:color w:val="000000" w:themeColor="text1"/>
        </w:rPr>
        <w:t xml:space="preserve"> </w:t>
      </w:r>
    </w:p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Cs w:val="false"/>
          <w:color w:val="000000" w:themeColor="text1"/>
          <w:sz w:val="28"/>
          <w:szCs w:val="28"/>
        </w:rPr>
      </w:pPr>
      <w:bookmarkStart w:id="112" w:name="_Toc470680112"/>
      <w:bookmarkEnd w:id="112"/>
      <w:r>
        <w:rPr>
          <w:rFonts w:eastAsia="Calibri" w:cs="Times New Roman" w:ascii="Times New Roman" w:hAnsi="Times New Roman"/>
          <w:bCs w:val="false"/>
          <w:color w:val="000000" w:themeColor="text1"/>
          <w:sz w:val="28"/>
          <w:szCs w:val="28"/>
        </w:rPr>
        <w:t>5.1 Показатели качества поставляемого коммунального ресурса</w:t>
      </w:r>
    </w:p>
    <w:p>
      <w:pPr>
        <w:pStyle w:val="Normal"/>
        <w:rPr/>
      </w:pPr>
      <w:r>
        <w:rPr/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Основными нормативными правовыми документами, регулирующими проведение указанных работ, являются: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Федеральный закон от 30 марта 1999г  №52-ФЗ « О санитарно - эпидемиологическом благополучии населения»;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-  Градостроительный кодекс Российской Федерации от 29.12.2004 г. № 190 – ФЗ.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Работы выполнены в соответствии с требованиями нормативно технических документов: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- Порядок установления охранных зон объектов электросетевого хозяйства и особых условий использования земельных участков, расположенных в границах таких зон.    Постановление Правительства РФ  от 24.02.2009 года №160;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- Правила охраны магистральных трубопроводов. Утверждены Постановлением Минтопэнерго РФ от 22.04.1992 года № 9;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- Правила охраны газораспределительных сетей. Утверждены Постановлением  Правительства РФ от 22.04.1992 года № 38; РФ от 20.11.2000года № 878;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 xml:space="preserve">- Санитарно-защитные зоны и санитарная классификация предприятий, сооружений и иных объектов. СанПин 2.2.1/2.1.1.1200–03. утверждены Главным государственным  санитарным врачом РФ от 25.09.2007 года № 74;. 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- Зоны санитарной охраны источников водоснабжения и водопроводов питьевого назначения СанПиН 2.1.4.1110-02, введенные в действие постановлением Главного государственного  санитарного врача РФ от 14.03.2002 года   №10.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Зоны санитарной охраны источников водоснабжения  установлены радиусом 30 метров, согласно  СанПиН 2.1.4.1110-02, введенные в действие постановлением Главного государственного  санитарного врача РФ от 14.03.2002 года №10.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highlight w:val="yellow"/>
          <w:lang w:eastAsia="ru-RU"/>
        </w:rPr>
        <w:t xml:space="preserve">Земельные участки водоохраных зон  размещены вдоль рек и водоёмов. Ширина водоохраной зоны руч. Игнатовский и Чечера 50 метров. Водоохранные зоны установлены  согласно Водному кодексу Российской 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Федерации, утвержденного 03.06.2006г. № 74-ФЗ (статья 65).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Согласно правилам охраны магистральных трубопроводов, утвержденных Постановлением Госгортехнадзора России от 22 апреля 1992г. №9, для исключения возможности повреждения трубопроводов устанавливаются охранные зоны вдоль трасс трубопроводов, транспортирующих  природный газ по 25метров от оси трубопровода с каждой стороны.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Согласно СниП 2.05.06-85 для газопроводов давлением от 3 до 6 кгс/см² охранная зона равна 7 м, от 6 до 12 кгс/см² - 10м.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Земельные участки, входящие в охранные зоны трубопроводов, не изымаются у землепользователей и используются ими для проведения сельскохозяйственных работ.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</w:r>
    </w:p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color w:val="000000" w:themeColor="text1"/>
          <w:sz w:val="28"/>
          <w:szCs w:val="28"/>
          <w:lang w:eastAsia="ru-RU"/>
        </w:rPr>
      </w:pPr>
      <w:bookmarkStart w:id="113" w:name="_Toc470680113"/>
      <w:bookmarkEnd w:id="113"/>
      <w:r>
        <w:rPr>
          <w:rFonts w:eastAsia="Calibri" w:cs="Times New Roman" w:ascii="Times New Roman" w:hAnsi="Times New Roman"/>
          <w:color w:val="000000" w:themeColor="text1"/>
          <w:sz w:val="28"/>
          <w:szCs w:val="28"/>
          <w:lang w:eastAsia="ru-RU"/>
        </w:rPr>
        <w:t>5.2. Показатели надежности систем ресурсоснабжения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Надежность и готовность систем ресурсоснабжения подтверждается ежегодно выдачей паспорта готовности к работе в осенне-зимний период после проверки комиссией по оценке готовности электро- и теплоснабжающих организаций с участием органов исполнительной власти (Ростехнадзора, МЧС).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1"/>
        <w:ind w:firstLine="709"/>
        <w:rPr>
          <w:rFonts w:ascii="Times New Roman" w:hAnsi="Times New Roman" w:eastAsia="Times New Roman" w:cs="Times New Roman"/>
          <w:color w:val="000000" w:themeColor="text1"/>
          <w:highlight w:val="white"/>
          <w:lang w:eastAsia="ru-RU"/>
        </w:rPr>
      </w:pPr>
      <w:bookmarkStart w:id="114" w:name="_Toc470606303"/>
      <w:bookmarkStart w:id="115" w:name="_Toc470680114"/>
      <w:r>
        <w:rPr>
          <w:rFonts w:eastAsia="Times New Roman" w:cs="Times New Roman" w:ascii="Times New Roman" w:hAnsi="Times New Roman"/>
          <w:color w:val="000000" w:themeColor="text1"/>
          <w:shd w:fill="FFFFFF" w:val="clear"/>
          <w:lang w:eastAsia="ru-RU"/>
        </w:rPr>
        <w:t xml:space="preserve">6. Перспективная схема развития </w:t>
      </w:r>
      <w:bookmarkEnd w:id="114"/>
      <w:bookmarkEnd w:id="115"/>
      <w:r>
        <w:rPr>
          <w:rFonts w:eastAsia="Calibri" w:cs="Times New Roman" w:ascii="Times New Roman" w:hAnsi="Times New Roman"/>
          <w:color w:val="000000" w:themeColor="text1"/>
          <w:spacing w:val="0"/>
        </w:rPr>
        <w:t>системы  водоснабжения</w:t>
      </w:r>
    </w:p>
    <w:p>
      <w:pPr>
        <w:pStyle w:val="Normal"/>
        <w:overflowPunct w:val="false"/>
        <w:spacing w:lineRule="auto" w:line="360" w:before="0" w:after="0"/>
        <w:ind w:right="22" w:firstLine="720"/>
        <w:jc w:val="both"/>
        <w:textAlignment w:val="baseline"/>
        <w:rPr>
          <w:rFonts w:ascii="Times New Roman" w:hAnsi="Times New Roman" w:eastAsia="Times New Roman" w:cs="Times New Roman"/>
          <w:b/>
          <w:b/>
          <w:sz w:val="28"/>
          <w:szCs w:val="28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shd w:fill="FFFFFF" w:val="clear"/>
          <w:lang w:eastAsia="ru-RU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В целях реализации схемы водоснабжения Татарско-Тавлинского сельского поселения Лямбирского района Республики Мордовия необходимо выполнить комплекс мероприятий, направленных на обеспечение в полном объёме необходимого резерва мощностей инженерно-технического обеспечения для развития объектов капитального строительства, подключения новых абонентов на территории перспективной застройки и для повышения надежности систем жизнеобеспечения.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1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Cs w:val="false"/>
          <w:color w:val="000000" w:themeColor="text1"/>
        </w:rPr>
      </w:pPr>
      <w:bookmarkStart w:id="116" w:name="_Toc470606304"/>
      <w:bookmarkStart w:id="117" w:name="_Toc470680115"/>
      <w:r>
        <w:rPr>
          <w:rFonts w:eastAsia="Calibri" w:cs="Times New Roman" w:ascii="Times New Roman" w:hAnsi="Times New Roman"/>
          <w:bCs w:val="false"/>
          <w:color w:val="000000" w:themeColor="text1"/>
        </w:rPr>
        <w:t xml:space="preserve">Программа инвестиционных проектов развития </w:t>
      </w:r>
      <w:r>
        <w:rPr>
          <w:rFonts w:eastAsia="Calibri" w:cs="Times New Roman" w:ascii="Times New Roman" w:hAnsi="Times New Roman"/>
          <w:color w:val="000000" w:themeColor="text1"/>
          <w:spacing w:val="0"/>
        </w:rPr>
        <w:t xml:space="preserve">системы  водоснабжения </w:t>
      </w:r>
      <w:bookmarkEnd w:id="116"/>
      <w:bookmarkEnd w:id="117"/>
      <w:r>
        <w:rPr>
          <w:rFonts w:eastAsia="Calibri" w:cs="Times New Roman" w:ascii="Times New Roman" w:hAnsi="Times New Roman"/>
          <w:bCs w:val="false"/>
          <w:color w:val="000000" w:themeColor="text1"/>
        </w:rPr>
        <w:t xml:space="preserve"> Татарско-Тавлинского  сельского поселения 2017-2027 годы (в ценах 2016)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br/>
        <w:t xml:space="preserve"> Таблица 9</w:t>
      </w:r>
    </w:p>
    <w:tbl>
      <w:tblPr>
        <w:tblStyle w:val="12"/>
        <w:tblW w:w="10314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1"/>
        <w:gridCol w:w="2036"/>
        <w:gridCol w:w="879"/>
        <w:gridCol w:w="1337"/>
        <w:gridCol w:w="1354"/>
        <w:gridCol w:w="1220"/>
        <w:gridCol w:w="1301"/>
        <w:gridCol w:w="1764"/>
      </w:tblGrid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№</w:t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Описание проекта</w:t>
            </w:r>
          </w:p>
        </w:tc>
        <w:tc>
          <w:tcPr>
            <w:tcW w:w="87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Цель проекта</w:t>
            </w:r>
          </w:p>
        </w:tc>
        <w:tc>
          <w:tcPr>
            <w:tcW w:w="13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Технические параметры проекта</w:t>
            </w:r>
          </w:p>
        </w:tc>
        <w:tc>
          <w:tcPr>
            <w:tcW w:w="135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Затраты на реализацию проекта(тыс. руб.)</w:t>
            </w:r>
          </w:p>
        </w:tc>
        <w:tc>
          <w:tcPr>
            <w:tcW w:w="122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Срок реализации проекта</w:t>
            </w:r>
          </w:p>
        </w:tc>
        <w:tc>
          <w:tcPr>
            <w:tcW w:w="130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Ожидаемый эффект от реализации проекта</w:t>
            </w:r>
          </w:p>
        </w:tc>
        <w:tc>
          <w:tcPr>
            <w:tcW w:w="17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Предполагаемый источник финансирования</w:t>
            </w:r>
          </w:p>
        </w:tc>
      </w:tr>
      <w:tr>
        <w:trPr/>
        <w:tc>
          <w:tcPr>
            <w:tcW w:w="42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87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13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135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5</w:t>
            </w:r>
          </w:p>
        </w:tc>
        <w:tc>
          <w:tcPr>
            <w:tcW w:w="122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6</w:t>
            </w:r>
          </w:p>
        </w:tc>
        <w:tc>
          <w:tcPr>
            <w:tcW w:w="130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7</w:t>
            </w:r>
          </w:p>
        </w:tc>
        <w:tc>
          <w:tcPr>
            <w:tcW w:w="17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8</w:t>
            </w:r>
          </w:p>
        </w:tc>
      </w:tr>
      <w:tr>
        <w:trPr>
          <w:trHeight w:val="1380" w:hRule="atLeast"/>
        </w:trPr>
        <w:tc>
          <w:tcPr>
            <w:tcW w:w="42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Замена участка сети распределительного водопровода с наибольшим износом (около 50%),</w:t>
            </w:r>
          </w:p>
        </w:tc>
        <w:tc>
          <w:tcPr>
            <w:tcW w:w="87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3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полиэтилен, диаметр - 76 мм, 0,5 км</w:t>
            </w:r>
          </w:p>
        </w:tc>
        <w:tc>
          <w:tcPr>
            <w:tcW w:w="135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850</w:t>
            </w:r>
          </w:p>
        </w:tc>
        <w:tc>
          <w:tcPr>
            <w:tcW w:w="122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2017-2027</w:t>
            </w:r>
          </w:p>
        </w:tc>
        <w:tc>
          <w:tcPr>
            <w:tcW w:w="130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7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Средства бюджета</w:t>
            </w:r>
          </w:p>
        </w:tc>
      </w:tr>
      <w:tr>
        <w:trPr>
          <w:trHeight w:val="1380" w:hRule="atLeast"/>
        </w:trPr>
        <w:tc>
          <w:tcPr>
            <w:tcW w:w="42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 xml:space="preserve">Замена участка сети распределительного водопровода с наибольшим износом (около 50%), </w:t>
            </w:r>
          </w:p>
        </w:tc>
        <w:tc>
          <w:tcPr>
            <w:tcW w:w="87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3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полиэтилен, диаметр - 76 мм. 0,5км</w:t>
            </w:r>
          </w:p>
        </w:tc>
        <w:tc>
          <w:tcPr>
            <w:tcW w:w="135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850</w:t>
            </w:r>
          </w:p>
        </w:tc>
        <w:tc>
          <w:tcPr>
            <w:tcW w:w="122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2017-2027</w:t>
            </w:r>
          </w:p>
        </w:tc>
        <w:tc>
          <w:tcPr>
            <w:tcW w:w="130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7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Средства бюджета</w:t>
            </w:r>
          </w:p>
        </w:tc>
      </w:tr>
      <w:tr>
        <w:trPr>
          <w:trHeight w:val="1380" w:hRule="atLeast"/>
        </w:trPr>
        <w:tc>
          <w:tcPr>
            <w:tcW w:w="42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 xml:space="preserve">Замена участка сети распределительного водопровода с наибольшим износом (около 50%), </w:t>
            </w:r>
          </w:p>
        </w:tc>
        <w:tc>
          <w:tcPr>
            <w:tcW w:w="87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3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полиэтилен, диаметр - 76 мм 0,5 км</w:t>
            </w:r>
          </w:p>
        </w:tc>
        <w:tc>
          <w:tcPr>
            <w:tcW w:w="135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850</w:t>
            </w:r>
          </w:p>
        </w:tc>
        <w:tc>
          <w:tcPr>
            <w:tcW w:w="122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2017-2027</w:t>
            </w:r>
          </w:p>
        </w:tc>
        <w:tc>
          <w:tcPr>
            <w:tcW w:w="130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7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Средства бюджета</w:t>
            </w:r>
          </w:p>
        </w:tc>
      </w:tr>
      <w:tr>
        <w:trPr>
          <w:trHeight w:val="1380" w:hRule="atLeast"/>
        </w:trPr>
        <w:tc>
          <w:tcPr>
            <w:tcW w:w="42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 xml:space="preserve">Строительство распеределительного водопровода, </w:t>
            </w:r>
          </w:p>
        </w:tc>
        <w:tc>
          <w:tcPr>
            <w:tcW w:w="87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3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полиэтилен, диаметр - 76 мм,1 км</w:t>
            </w:r>
          </w:p>
        </w:tc>
        <w:tc>
          <w:tcPr>
            <w:tcW w:w="135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1000</w:t>
            </w:r>
          </w:p>
        </w:tc>
        <w:tc>
          <w:tcPr>
            <w:tcW w:w="122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2017-2027</w:t>
            </w:r>
          </w:p>
        </w:tc>
        <w:tc>
          <w:tcPr>
            <w:tcW w:w="130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7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Средства бюджета</w:t>
            </w:r>
          </w:p>
        </w:tc>
      </w:tr>
      <w:tr>
        <w:trPr>
          <w:trHeight w:val="285" w:hRule="atLeast"/>
        </w:trPr>
        <w:tc>
          <w:tcPr>
            <w:tcW w:w="42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Итого</w:t>
            </w:r>
          </w:p>
        </w:tc>
        <w:tc>
          <w:tcPr>
            <w:tcW w:w="87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3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35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3550</w:t>
            </w:r>
          </w:p>
        </w:tc>
        <w:tc>
          <w:tcPr>
            <w:tcW w:w="122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30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764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</w:tr>
    </w:tbl>
    <w:p>
      <w:pPr>
        <w:pStyle w:val="2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color w:val="000000" w:themeColor="text1"/>
          <w:spacing w:val="0"/>
          <w:sz w:val="28"/>
          <w:szCs w:val="28"/>
        </w:rPr>
      </w:pPr>
      <w:bookmarkStart w:id="118" w:name="_Toc470606305"/>
      <w:bookmarkStart w:id="119" w:name="_Toc470680116"/>
      <w:r>
        <w:rPr>
          <w:rFonts w:cs="Times New Roman" w:ascii="Times New Roman" w:hAnsi="Times New Roman"/>
          <w:color w:val="000000" w:themeColor="text1"/>
          <w:sz w:val="28"/>
          <w:szCs w:val="28"/>
        </w:rPr>
        <w:t>7.</w:t>
      </w:r>
      <w:r>
        <w:rPr>
          <w:rFonts w:eastAsia="Times New Roman" w:cs="Times New Roman" w:ascii="Times New Roman" w:hAnsi="Times New Roman"/>
          <w:color w:val="000000" w:themeColor="text1"/>
          <w:sz w:val="28"/>
          <w:szCs w:val="28"/>
          <w:shd w:fill="FFFFFF" w:val="clear"/>
          <w:lang w:eastAsia="ru-RU"/>
        </w:rPr>
        <w:t xml:space="preserve"> Перспективная схема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color w:val="000000" w:themeColor="text1"/>
          <w:spacing w:val="0"/>
          <w:sz w:val="28"/>
          <w:szCs w:val="28"/>
        </w:rPr>
        <w:t xml:space="preserve">  сбора и утилизации ТБО</w:t>
      </w:r>
      <w:bookmarkEnd w:id="118"/>
      <w:bookmarkEnd w:id="119"/>
      <w:r>
        <w:rPr>
          <w:rFonts w:eastAsia="Calibri" w:cs="Times New Roman" w:ascii="Times New Roman" w:hAnsi="Times New Roman"/>
          <w:color w:val="000000" w:themeColor="text1"/>
          <w:spacing w:val="0"/>
          <w:sz w:val="28"/>
          <w:szCs w:val="28"/>
        </w:rPr>
        <w:t xml:space="preserve"> </w:t>
      </w:r>
    </w:p>
    <w:p>
      <w:pPr>
        <w:pStyle w:val="Normal"/>
        <w:overflowPunct w:val="false"/>
        <w:spacing w:lineRule="auto" w:line="360" w:before="0" w:after="0"/>
        <w:ind w:right="22" w:firstLine="709"/>
        <w:jc w:val="both"/>
        <w:textAlignment w:val="baseline"/>
        <w:rPr>
          <w:rFonts w:ascii="Times New Roman" w:hAnsi="Times New Roman" w:eastAsia="Calibri" w:cs="Times New Roman"/>
          <w:b/>
          <w:b/>
          <w:spacing w:val="0"/>
          <w:sz w:val="28"/>
          <w:szCs w:val="28"/>
        </w:rPr>
      </w:pPr>
      <w:r>
        <w:rPr>
          <w:rFonts w:eastAsia="Calibri" w:cs="Times New Roman" w:ascii="Times New Roman" w:hAnsi="Times New Roman"/>
          <w:b/>
          <w:spacing w:val="0"/>
          <w:sz w:val="28"/>
          <w:szCs w:val="28"/>
        </w:rPr>
      </w:r>
    </w:p>
    <w:p>
      <w:pPr>
        <w:pStyle w:val="NoSpacing"/>
        <w:rPr>
          <w:rFonts w:cs="Times New Roman"/>
          <w:szCs w:val="28"/>
        </w:rPr>
      </w:pPr>
      <w:r>
        <w:rPr>
          <w:rFonts w:cs="Times New Roman"/>
          <w:szCs w:val="28"/>
        </w:rPr>
        <w:t>Анализ необходимой обеспеченности контейнерами Татарско-Тавлинского сельского поселения представлен в таблице 8</w:t>
      </w:r>
    </w:p>
    <w:p>
      <w:pPr>
        <w:pStyle w:val="NoSpacing"/>
        <w:rPr>
          <w:rFonts w:cs="Times New Roman"/>
          <w:szCs w:val="28"/>
        </w:rPr>
      </w:pPr>
      <w:r>
        <w:rPr>
          <w:rFonts w:cs="Times New Roman"/>
          <w:szCs w:val="28"/>
        </w:rPr>
      </w:r>
    </w:p>
    <w:p>
      <w:pPr>
        <w:pStyle w:val="NoSpacing"/>
        <w:rPr>
          <w:rFonts w:cs="Times New Roman"/>
          <w:szCs w:val="28"/>
        </w:rPr>
      </w:pPr>
      <w:r>
        <w:rPr>
          <w:rFonts w:cs="Times New Roman"/>
          <w:szCs w:val="28"/>
        </w:rPr>
        <w:t>Таблица 10</w:t>
      </w:r>
    </w:p>
    <w:p>
      <w:pPr>
        <w:pStyle w:val="NoSpacing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Определение необходимого количества контейнеров</w:t>
      </w:r>
    </w:p>
    <w:tbl>
      <w:tblPr>
        <w:tblW w:w="9658" w:type="dxa"/>
        <w:jc w:val="left"/>
        <w:tblInd w:w="7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40"/>
        <w:gridCol w:w="5758"/>
        <w:gridCol w:w="3260"/>
      </w:tblGrid>
      <w:tr>
        <w:trPr>
          <w:trHeight w:val="630" w:hRule="atLeast"/>
        </w:trPr>
        <w:tc>
          <w:tcPr>
            <w:tcW w:w="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90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Татарско-Тавлинское сельское поселение</w:t>
            </w:r>
          </w:p>
        </w:tc>
      </w:tr>
      <w:tr>
        <w:trPr>
          <w:trHeight w:val="315" w:hRule="atLeast"/>
        </w:trPr>
        <w:tc>
          <w:tcPr>
            <w:tcW w:w="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Количество образующихся отходов, тонн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1291,50</w:t>
            </w:r>
          </w:p>
        </w:tc>
      </w:tr>
      <w:tr>
        <w:trPr>
          <w:trHeight w:val="315" w:hRule="atLeast"/>
        </w:trPr>
        <w:tc>
          <w:tcPr>
            <w:tcW w:w="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Численность населения, чел.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861</w:t>
            </w:r>
          </w:p>
        </w:tc>
      </w:tr>
      <w:tr>
        <w:trPr>
          <w:trHeight w:val="315" w:hRule="atLeast"/>
        </w:trPr>
        <w:tc>
          <w:tcPr>
            <w:tcW w:w="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Средний норматив, м3/год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1,50</w:t>
            </w:r>
          </w:p>
        </w:tc>
      </w:tr>
      <w:tr>
        <w:trPr>
          <w:trHeight w:val="315" w:hRule="atLeast"/>
        </w:trPr>
        <w:tc>
          <w:tcPr>
            <w:tcW w:w="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Объем отходов, обеспеченный контейнерами, тонн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748,80</w:t>
            </w:r>
          </w:p>
        </w:tc>
      </w:tr>
      <w:tr>
        <w:trPr>
          <w:trHeight w:val="315" w:hRule="atLeast"/>
        </w:trPr>
        <w:tc>
          <w:tcPr>
            <w:tcW w:w="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Объем отходов, необеспеченный контейнерами, тонн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542,70</w:t>
            </w:r>
          </w:p>
        </w:tc>
      </w:tr>
      <w:tr>
        <w:trPr>
          <w:trHeight w:val="315" w:hRule="atLeast"/>
        </w:trPr>
        <w:tc>
          <w:tcPr>
            <w:tcW w:w="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Количество необходимых контейнеров 1,1м3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>
        <w:trPr>
          <w:trHeight w:val="315" w:hRule="atLeast"/>
        </w:trPr>
        <w:tc>
          <w:tcPr>
            <w:tcW w:w="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7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Количество необходимых контейнеров 5 м3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</w:tbl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Согласно приведенным расчётам, на территории </w:t>
      </w:r>
      <w:r>
        <w:rPr>
          <w:rFonts w:eastAsia="TimesNewRoman" w:cs="Times New Roman" w:ascii="Times New Roman" w:hAnsi="Times New Roman"/>
          <w:sz w:val="28"/>
          <w:szCs w:val="28"/>
        </w:rPr>
        <w:t>Татарско-Тавлинского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необходима установка дополнительного контейнера для сбора ТКО от населения, в количестве 1 шт., вместимостью 5 м</w:t>
      </w:r>
      <w:r>
        <w:rPr>
          <w:rFonts w:cs="Times New Roman" w:ascii="Times New Roman" w:hAnsi="Times New Roman"/>
          <w:sz w:val="28"/>
          <w:szCs w:val="28"/>
          <w:vertAlign w:val="superscript"/>
        </w:rPr>
        <w:t>3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overflowPunct w:val="false"/>
        <w:spacing w:lineRule="auto" w:line="360" w:before="0" w:after="0"/>
        <w:ind w:right="22" w:firstLine="709"/>
        <w:jc w:val="both"/>
        <w:textAlignment w:val="baseline"/>
        <w:rPr>
          <w:rFonts w:ascii="Times New Roman" w:hAnsi="Times New Roman" w:eastAsia="Calibri" w:cs="Times New Roman"/>
          <w:b/>
          <w:b/>
          <w:spacing w:val="0"/>
          <w:sz w:val="28"/>
          <w:szCs w:val="28"/>
        </w:rPr>
      </w:pPr>
      <w:r>
        <w:rPr>
          <w:rFonts w:eastAsia="Calibri" w:cs="Times New Roman" w:ascii="Times New Roman" w:hAnsi="Times New Roman"/>
          <w:b/>
          <w:spacing w:val="0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* Расчёт необходимой обеспеченности контейнерами </w:t>
      </w:r>
      <w:r>
        <w:rPr>
          <w:rFonts w:eastAsia="TimesNewRoman" w:cs="Times New Roman" w:ascii="Times New Roman" w:hAnsi="Times New Roman"/>
          <w:sz w:val="28"/>
          <w:szCs w:val="28"/>
        </w:rPr>
        <w:t>Татарско-Тавлинского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взят из документа «Территориальная  схема обращения с отходами, в том числе с твердыми коммунальными отходами на территории Республики Мордовия».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  <w:t xml:space="preserve">Программа инвестиционных проектов развития </w:t>
      </w:r>
      <w:r>
        <w:rPr>
          <w:rFonts w:eastAsia="Calibri" w:cs="Times New Roman" w:ascii="Times New Roman" w:hAnsi="Times New Roman"/>
          <w:b/>
          <w:spacing w:val="0"/>
          <w:sz w:val="28"/>
          <w:szCs w:val="28"/>
        </w:rPr>
        <w:t>системы  утилизации  ТБО</w:t>
      </w:r>
      <w:r>
        <w:rPr>
          <w:rFonts w:eastAsia="Calibri" w:cs="Times New Roman" w:ascii="Times New Roman" w:hAnsi="Times New Roman"/>
          <w:b/>
          <w:bCs/>
          <w:sz w:val="28"/>
          <w:szCs w:val="28"/>
        </w:rPr>
        <w:t xml:space="preserve"> Татарско-Тавлинского  сельского поселения 2017-2027 годы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11</w:t>
      </w:r>
    </w:p>
    <w:tbl>
      <w:tblPr>
        <w:tblStyle w:val="12"/>
        <w:tblW w:w="10315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1"/>
        <w:gridCol w:w="1303"/>
        <w:gridCol w:w="929"/>
        <w:gridCol w:w="1485"/>
        <w:gridCol w:w="1462"/>
        <w:gridCol w:w="1337"/>
        <w:gridCol w:w="1440"/>
        <w:gridCol w:w="1906"/>
      </w:tblGrid>
      <w:tr>
        <w:trPr/>
        <w:tc>
          <w:tcPr>
            <w:tcW w:w="4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№</w:t>
            </w:r>
          </w:p>
        </w:tc>
        <w:tc>
          <w:tcPr>
            <w:tcW w:w="130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Описание проекта</w:t>
            </w:r>
          </w:p>
        </w:tc>
        <w:tc>
          <w:tcPr>
            <w:tcW w:w="92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Цель проекта</w:t>
            </w:r>
          </w:p>
        </w:tc>
        <w:tc>
          <w:tcPr>
            <w:tcW w:w="148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Технические параметры проекта</w:t>
            </w:r>
          </w:p>
        </w:tc>
        <w:tc>
          <w:tcPr>
            <w:tcW w:w="146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Затраты на реализацию проекта(тыс. руб.)</w:t>
            </w:r>
          </w:p>
        </w:tc>
        <w:tc>
          <w:tcPr>
            <w:tcW w:w="13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Срок реализации проекта</w:t>
            </w:r>
          </w:p>
        </w:tc>
        <w:tc>
          <w:tcPr>
            <w:tcW w:w="144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Ожидаемый эффект от реализации проекта</w:t>
            </w:r>
          </w:p>
        </w:tc>
        <w:tc>
          <w:tcPr>
            <w:tcW w:w="190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Предполагаемый источник финансирования</w:t>
            </w:r>
          </w:p>
        </w:tc>
      </w:tr>
      <w:tr>
        <w:trPr/>
        <w:tc>
          <w:tcPr>
            <w:tcW w:w="4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130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92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148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146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5</w:t>
            </w:r>
          </w:p>
        </w:tc>
        <w:tc>
          <w:tcPr>
            <w:tcW w:w="13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6</w:t>
            </w:r>
          </w:p>
        </w:tc>
        <w:tc>
          <w:tcPr>
            <w:tcW w:w="144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7</w:t>
            </w:r>
          </w:p>
        </w:tc>
        <w:tc>
          <w:tcPr>
            <w:tcW w:w="190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8</w:t>
            </w:r>
          </w:p>
        </w:tc>
      </w:tr>
      <w:tr>
        <w:trPr>
          <w:trHeight w:val="1380" w:hRule="atLeast"/>
        </w:trPr>
        <w:tc>
          <w:tcPr>
            <w:tcW w:w="4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130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Установка баков ТБО</w:t>
            </w:r>
          </w:p>
        </w:tc>
        <w:tc>
          <w:tcPr>
            <w:tcW w:w="92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48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ru-RU" w:eastAsia="ru-RU" w:bidi="ar-SA"/>
              </w:rPr>
              <w:t>5 м</w:t>
            </w: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vertAlign w:val="superscript"/>
                <w:lang w:val="ru-RU" w:eastAsia="ru-RU" w:bidi="ar-SA"/>
              </w:rPr>
              <w:t>3</w:t>
            </w:r>
          </w:p>
        </w:tc>
        <w:tc>
          <w:tcPr>
            <w:tcW w:w="146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13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2017-2027</w:t>
            </w:r>
          </w:p>
        </w:tc>
        <w:tc>
          <w:tcPr>
            <w:tcW w:w="144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90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Средства бюджета</w:t>
            </w:r>
          </w:p>
        </w:tc>
      </w:tr>
      <w:tr>
        <w:trPr>
          <w:trHeight w:val="285" w:hRule="atLeast"/>
        </w:trPr>
        <w:tc>
          <w:tcPr>
            <w:tcW w:w="4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30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Итого</w:t>
            </w:r>
          </w:p>
        </w:tc>
        <w:tc>
          <w:tcPr>
            <w:tcW w:w="929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48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46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133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440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906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</w:tr>
    </w:tbl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left="42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42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42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42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42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42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42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42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42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42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42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42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42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42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42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42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ind w:left="42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1"/>
        <w:spacing w:lineRule="auto" w:line="360" w:before="0" w:after="0"/>
        <w:jc w:val="both"/>
        <w:rPr>
          <w:rFonts w:ascii="Times New Roman" w:hAnsi="Times New Roman" w:eastAsia="Calibri" w:cs="Times New Roman"/>
          <w:color w:val="000000" w:themeColor="text1"/>
        </w:rPr>
      </w:pPr>
      <w:bookmarkStart w:id="120" w:name="_Toc470680117"/>
      <w:bookmarkEnd w:id="120"/>
      <w:r>
        <w:rPr>
          <w:rFonts w:eastAsia="Calibri" w:cs="Times New Roman" w:ascii="Times New Roman" w:hAnsi="Times New Roman"/>
          <w:color w:val="000000" w:themeColor="text1"/>
        </w:rPr>
        <w:t>8. Общая программа проектов</w:t>
      </w:r>
    </w:p>
    <w:p>
      <w:pPr>
        <w:pStyle w:val="Normal"/>
        <w:overflowPunct w:val="false"/>
        <w:spacing w:lineRule="auto" w:line="360" w:before="0" w:after="0"/>
        <w:ind w:right="22" w:firstLine="720"/>
        <w:jc w:val="both"/>
        <w:textAlignment w:val="baseline"/>
        <w:rPr>
          <w:rFonts w:ascii="Times New Roman" w:hAnsi="Times New Roman" w:eastAsia="Calibri" w:cs="Times New Roman"/>
          <w:b/>
          <w:b/>
          <w:bCs/>
          <w:color w:val="000000" w:themeColor="text1"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color w:val="000000" w:themeColor="text1"/>
          <w:sz w:val="28"/>
          <w:szCs w:val="28"/>
        </w:rPr>
      </w:r>
    </w:p>
    <w:p>
      <w:pPr>
        <w:pStyle w:val="Normal"/>
        <w:overflowPunct w:val="false"/>
        <w:spacing w:lineRule="auto" w:line="360" w:before="0" w:after="0"/>
        <w:ind w:right="22" w:firstLine="720"/>
        <w:jc w:val="both"/>
        <w:textAlignment w:val="baseline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  <w:t xml:space="preserve">Программа инвестиционных проектов развития </w:t>
      </w:r>
      <w:r>
        <w:rPr>
          <w:rFonts w:eastAsia="Calibri" w:cs="Times New Roman" w:ascii="Times New Roman" w:hAnsi="Times New Roman"/>
          <w:b/>
          <w:spacing w:val="0"/>
          <w:sz w:val="28"/>
          <w:szCs w:val="28"/>
        </w:rPr>
        <w:t xml:space="preserve">водоснабжения </w:t>
      </w:r>
      <w:r>
        <w:rPr>
          <w:rFonts w:eastAsia="Calibri" w:cs="Times New Roman" w:ascii="Times New Roman" w:hAnsi="Times New Roman"/>
          <w:b/>
          <w:bCs/>
          <w:sz w:val="28"/>
          <w:szCs w:val="28"/>
        </w:rPr>
        <w:t xml:space="preserve"> Татарско-Тавлинского  сельского поселения 2017-2027 годы (в ценах 2016)</w:t>
      </w:r>
    </w:p>
    <w:p>
      <w:pPr>
        <w:pStyle w:val="Normal"/>
        <w:overflowPunct w:val="false"/>
        <w:spacing w:lineRule="auto" w:line="360" w:before="0" w:after="0"/>
        <w:ind w:right="22" w:firstLine="720"/>
        <w:jc w:val="both"/>
        <w:textAlignment w:val="baseline"/>
        <w:rPr>
          <w:rFonts w:ascii="Times New Roman" w:hAnsi="Times New Roman" w:eastAsia="Times New Roman" w:cs="Times New Roman"/>
          <w:b/>
          <w:b/>
          <w:sz w:val="28"/>
          <w:szCs w:val="28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shd w:fill="FFFFFF" w:val="clear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360"/>
        <w:jc w:val="both"/>
        <w:outlineLvl w:val="2"/>
        <w:rPr>
          <w:rFonts w:ascii="Times New Roman" w:hAnsi="Times New Roman" w:eastAsia="Calibri" w:cs="Times New Roman"/>
          <w:bCs/>
          <w:sz w:val="28"/>
          <w:szCs w:val="28"/>
        </w:rPr>
      </w:pPr>
      <w:bookmarkStart w:id="121" w:name="_Toc470618201"/>
      <w:bookmarkStart w:id="122" w:name="_Toc470680118"/>
      <w:r>
        <w:rPr>
          <w:rFonts w:eastAsia="Calibri" w:cs="Times New Roman" w:ascii="Times New Roman" w:hAnsi="Times New Roman"/>
          <w:bCs/>
          <w:sz w:val="28"/>
          <w:szCs w:val="28"/>
        </w:rPr>
        <w:t xml:space="preserve">Таблица </w:t>
      </w:r>
      <w:r>
        <w:rPr>
          <w:rFonts w:eastAsia="Calibri" w:cs="Times New Roman" w:ascii="Times New Roman" w:hAnsi="Times New Roman"/>
          <w:bCs/>
          <w:sz w:val="28"/>
          <w:szCs w:val="28"/>
          <w:lang w:val="en-US"/>
        </w:rPr>
        <w:t>1</w:t>
      </w:r>
      <w:bookmarkEnd w:id="121"/>
      <w:bookmarkEnd w:id="122"/>
      <w:r>
        <w:rPr>
          <w:rFonts w:eastAsia="Calibri" w:cs="Times New Roman" w:ascii="Times New Roman" w:hAnsi="Times New Roman"/>
          <w:bCs/>
          <w:sz w:val="28"/>
          <w:szCs w:val="28"/>
        </w:rPr>
        <w:t>2</w:t>
      </w:r>
    </w:p>
    <w:tbl>
      <w:tblPr>
        <w:tblStyle w:val="12"/>
        <w:tblW w:w="10314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33"/>
        <w:gridCol w:w="2152"/>
        <w:gridCol w:w="829"/>
        <w:gridCol w:w="1326"/>
        <w:gridCol w:w="1365"/>
        <w:gridCol w:w="1227"/>
        <w:gridCol w:w="1298"/>
        <w:gridCol w:w="1782"/>
      </w:tblGrid>
      <w:tr>
        <w:trPr/>
        <w:tc>
          <w:tcPr>
            <w:tcW w:w="333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left="0" w:right="0"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23" w:name="_Toc470618202"/>
            <w:bookmarkStart w:id="124" w:name="_Toc470680119"/>
            <w:bookmarkEnd w:id="123"/>
            <w:bookmarkEnd w:id="124"/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ru-RU" w:bidi="ar-SA"/>
              </w:rPr>
              <w:t>№</w:t>
            </w:r>
          </w:p>
        </w:tc>
        <w:tc>
          <w:tcPr>
            <w:tcW w:w="2152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left="0" w:right="0"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25" w:name="_Toc470618203"/>
            <w:bookmarkStart w:id="126" w:name="_Toc470680120"/>
            <w:bookmarkEnd w:id="125"/>
            <w:bookmarkEnd w:id="126"/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ru-RU" w:bidi="ar-SA"/>
              </w:rPr>
              <w:t>Описание проекта</w:t>
            </w:r>
          </w:p>
        </w:tc>
        <w:tc>
          <w:tcPr>
            <w:tcW w:w="829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left="0" w:right="0"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27" w:name="_Toc470618204"/>
            <w:bookmarkStart w:id="128" w:name="_Toc470680121"/>
            <w:bookmarkEnd w:id="127"/>
            <w:bookmarkEnd w:id="128"/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ru-RU" w:bidi="ar-SA"/>
              </w:rPr>
              <w:t>Цель проекта</w:t>
            </w:r>
          </w:p>
        </w:tc>
        <w:tc>
          <w:tcPr>
            <w:tcW w:w="1326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left="0" w:right="0"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29" w:name="_Toc470618205"/>
            <w:bookmarkStart w:id="130" w:name="_Toc470680122"/>
            <w:bookmarkEnd w:id="129"/>
            <w:bookmarkEnd w:id="130"/>
            <w:r>
              <w:rPr>
                <w:rFonts w:eastAsia="Calibri" w:cs="Times New Roman" w:ascii="Times New Roman" w:hAnsi="Times New Roman" w:eastAsiaTheme="minorHAnsi"/>
                <w:color w:val="00000A"/>
                <w:sz w:val="24"/>
                <w:szCs w:val="24"/>
                <w:lang w:val="ru-RU" w:eastAsia="ru-RU" w:bidi="ar-SA"/>
              </w:rPr>
              <w:t>Технические параметры проекта</w:t>
            </w:r>
          </w:p>
        </w:tc>
        <w:tc>
          <w:tcPr>
            <w:tcW w:w="1365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left="0" w:right="0"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31" w:name="_Toc470618206"/>
            <w:bookmarkStart w:id="132" w:name="_Toc470680123"/>
            <w:bookmarkEnd w:id="131"/>
            <w:bookmarkEnd w:id="132"/>
            <w:r>
              <w:rPr>
                <w:rFonts w:eastAsia="Calibri" w:cs="Times New Roman" w:ascii="Times New Roman" w:hAnsi="Times New Roman" w:eastAsiaTheme="minorHAnsi"/>
                <w:color w:val="00000A"/>
                <w:sz w:val="24"/>
                <w:szCs w:val="24"/>
                <w:lang w:val="ru-RU" w:eastAsia="ru-RU" w:bidi="ar-SA"/>
              </w:rPr>
              <w:t>Затраты на реализацию проекта(тыс. руб.)</w:t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left="0" w:right="0"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33" w:name="_Toc470618207"/>
            <w:bookmarkStart w:id="134" w:name="_Toc470680124"/>
            <w:bookmarkEnd w:id="133"/>
            <w:bookmarkEnd w:id="134"/>
            <w:r>
              <w:rPr>
                <w:rFonts w:eastAsia="Calibri" w:cs="Times New Roman" w:ascii="Times New Roman" w:hAnsi="Times New Roman" w:eastAsiaTheme="minorHAnsi"/>
                <w:color w:val="00000A"/>
                <w:sz w:val="24"/>
                <w:szCs w:val="24"/>
                <w:lang w:val="ru-RU" w:eastAsia="ru-RU" w:bidi="ar-SA"/>
              </w:rPr>
              <w:t>Срок реализации проекта</w:t>
            </w:r>
          </w:p>
        </w:tc>
        <w:tc>
          <w:tcPr>
            <w:tcW w:w="1298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left="0" w:right="0"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35" w:name="_Toc470618208"/>
            <w:bookmarkStart w:id="136" w:name="_Toc470680125"/>
            <w:bookmarkEnd w:id="135"/>
            <w:bookmarkEnd w:id="136"/>
            <w:r>
              <w:rPr>
                <w:rFonts w:eastAsia="Calibri" w:cs="Times New Roman" w:ascii="Times New Roman" w:hAnsi="Times New Roman" w:eastAsiaTheme="minorHAnsi"/>
                <w:color w:val="00000A"/>
                <w:sz w:val="24"/>
                <w:szCs w:val="24"/>
                <w:lang w:val="ru-RU" w:eastAsia="ru-RU" w:bidi="ar-SA"/>
              </w:rPr>
              <w:t>Ожидаемый эффект от реализации проекта</w:t>
            </w:r>
          </w:p>
        </w:tc>
        <w:tc>
          <w:tcPr>
            <w:tcW w:w="1782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left="0" w:right="0"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37" w:name="_Toc470618209"/>
            <w:bookmarkStart w:id="138" w:name="_Toc470680126"/>
            <w:bookmarkEnd w:id="137"/>
            <w:bookmarkEnd w:id="138"/>
            <w:r>
              <w:rPr>
                <w:rFonts w:eastAsia="Calibri" w:cs="Times New Roman" w:ascii="Times New Roman" w:hAnsi="Times New Roman" w:eastAsiaTheme="minorHAnsi"/>
                <w:color w:val="00000A"/>
                <w:sz w:val="24"/>
                <w:szCs w:val="24"/>
                <w:lang w:val="ru-RU" w:eastAsia="ru-RU" w:bidi="ar-SA"/>
              </w:rPr>
              <w:t>Предполагаемый источник финансирования</w:t>
            </w:r>
          </w:p>
        </w:tc>
      </w:tr>
      <w:tr>
        <w:trPr/>
        <w:tc>
          <w:tcPr>
            <w:tcW w:w="333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39" w:name="_Toc470618210"/>
            <w:bookmarkStart w:id="140" w:name="_Toc470680127"/>
            <w:bookmarkEnd w:id="139"/>
            <w:bookmarkEnd w:id="140"/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2152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41" w:name="_Toc470618211"/>
            <w:bookmarkStart w:id="142" w:name="_Toc470680128"/>
            <w:bookmarkEnd w:id="141"/>
            <w:bookmarkEnd w:id="142"/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829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43" w:name="_Toc470618212"/>
            <w:bookmarkStart w:id="144" w:name="_Toc470680129"/>
            <w:bookmarkEnd w:id="143"/>
            <w:bookmarkEnd w:id="144"/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1326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45" w:name="_Toc470618213"/>
            <w:bookmarkStart w:id="146" w:name="_Toc470680130"/>
            <w:bookmarkEnd w:id="145"/>
            <w:bookmarkEnd w:id="146"/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1365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47" w:name="_Toc470618214"/>
            <w:bookmarkStart w:id="148" w:name="_Toc470680131"/>
            <w:bookmarkEnd w:id="147"/>
            <w:bookmarkEnd w:id="148"/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ru-RU" w:bidi="ar-SA"/>
              </w:rPr>
              <w:t>5</w:t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49" w:name="_Toc470618215"/>
            <w:bookmarkStart w:id="150" w:name="_Toc470680132"/>
            <w:bookmarkEnd w:id="149"/>
            <w:bookmarkEnd w:id="150"/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ru-RU" w:bidi="ar-SA"/>
              </w:rPr>
              <w:t>6</w:t>
            </w:r>
          </w:p>
        </w:tc>
        <w:tc>
          <w:tcPr>
            <w:tcW w:w="1298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51" w:name="_Toc470618216"/>
            <w:bookmarkStart w:id="152" w:name="_Toc470680133"/>
            <w:bookmarkEnd w:id="151"/>
            <w:bookmarkEnd w:id="152"/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ru-RU" w:bidi="ar-SA"/>
              </w:rPr>
              <w:t>7</w:t>
            </w:r>
          </w:p>
        </w:tc>
        <w:tc>
          <w:tcPr>
            <w:tcW w:w="1782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53" w:name="_Toc470618217"/>
            <w:bookmarkStart w:id="154" w:name="_Toc470680134"/>
            <w:bookmarkEnd w:id="153"/>
            <w:bookmarkEnd w:id="154"/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ru-RU" w:bidi="ar-SA"/>
              </w:rPr>
              <w:t>8</w:t>
            </w:r>
          </w:p>
        </w:tc>
      </w:tr>
      <w:tr>
        <w:trPr>
          <w:trHeight w:val="1380" w:hRule="atLeast"/>
        </w:trPr>
        <w:tc>
          <w:tcPr>
            <w:tcW w:w="333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55" w:name="_Toc470618218"/>
            <w:bookmarkStart w:id="156" w:name="_Toc470680135"/>
            <w:bookmarkEnd w:id="155"/>
            <w:bookmarkEnd w:id="156"/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2152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left="0"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ru-RU" w:eastAsia="ru-RU" w:bidi="ar-SA"/>
              </w:rPr>
              <w:t xml:space="preserve">Замена участка сети распределительного водопровода с наибольшим износом </w:t>
            </w:r>
          </w:p>
        </w:tc>
        <w:tc>
          <w:tcPr>
            <w:tcW w:w="829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Arial" w:hAnsi="Arial" w:eastAsia="Times New Roman" w:cs="Times New Roman"/>
                <w:bCs/>
                <w:color w:val="00000A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bCs/>
                <w:color w:val="00000A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326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left="0" w:right="0"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57" w:name="_Toc470618219"/>
            <w:bookmarkStart w:id="158" w:name="_Toc470680136"/>
            <w:bookmarkEnd w:id="157"/>
            <w:bookmarkEnd w:id="158"/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ru-RU" w:eastAsia="ru-RU" w:bidi="ar-SA"/>
              </w:rPr>
              <w:t>материал  полиэтилен, диаметр - 76 мм (2,5 км)</w:t>
            </w:r>
          </w:p>
        </w:tc>
        <w:tc>
          <w:tcPr>
            <w:tcW w:w="1365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  <w:lang w:val="en-US"/>
              </w:rPr>
            </w:pPr>
            <w:bookmarkStart w:id="159" w:name="_Toc470618220"/>
            <w:bookmarkStart w:id="160" w:name="_Toc470680137"/>
            <w:bookmarkEnd w:id="159"/>
            <w:bookmarkEnd w:id="160"/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en-US" w:eastAsia="ru-RU" w:bidi="ar-SA"/>
              </w:rPr>
              <w:t>3550</w:t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61" w:name="_Toc470618221"/>
            <w:bookmarkStart w:id="162" w:name="_Toc470680138"/>
            <w:bookmarkEnd w:id="161"/>
            <w:bookmarkEnd w:id="162"/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ru-RU" w:bidi="ar-SA"/>
              </w:rPr>
              <w:t>2017-2027</w:t>
            </w:r>
          </w:p>
        </w:tc>
        <w:tc>
          <w:tcPr>
            <w:tcW w:w="1298" w:type="dxa"/>
            <w:tcBorders/>
            <w:shd w:fill="auto" w:val="clear"/>
          </w:tcPr>
          <w:p>
            <w:pPr>
              <w:pStyle w:val="Normal"/>
              <w:widowControl/>
              <w:spacing w:lineRule="auto" w:line="36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782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63" w:name="_Toc470618222"/>
            <w:bookmarkStart w:id="164" w:name="_Toc470680139"/>
            <w:bookmarkEnd w:id="163"/>
            <w:bookmarkEnd w:id="164"/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ru-RU" w:bidi="ar-SA"/>
              </w:rPr>
              <w:t>Средства бюджета</w:t>
            </w:r>
          </w:p>
        </w:tc>
      </w:tr>
      <w:tr>
        <w:trPr>
          <w:trHeight w:val="285" w:hRule="atLeast"/>
        </w:trPr>
        <w:tc>
          <w:tcPr>
            <w:tcW w:w="333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Arial" w:hAnsi="Arial" w:eastAsia="Times New Roman" w:cs="Times New Roman"/>
                <w:bCs/>
                <w:color w:val="00000A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bCs/>
                <w:color w:val="00000A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2152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65" w:name="_Toc470618223"/>
            <w:bookmarkStart w:id="166" w:name="_Toc470680140"/>
            <w:bookmarkEnd w:id="165"/>
            <w:bookmarkEnd w:id="166"/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ru-RU" w:eastAsia="ru-RU" w:bidi="ar-SA"/>
              </w:rPr>
              <w:t>Итого</w:t>
            </w:r>
          </w:p>
        </w:tc>
        <w:tc>
          <w:tcPr>
            <w:tcW w:w="829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Arial" w:hAnsi="Arial" w:eastAsia="Times New Roman" w:cs="Times New Roman"/>
                <w:bCs/>
                <w:color w:val="00000A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bCs/>
                <w:color w:val="00000A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326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Arial" w:hAnsi="Arial" w:eastAsia="Times New Roman" w:cs="Times New Roman"/>
                <w:bCs/>
                <w:color w:val="00000A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bCs/>
                <w:color w:val="00000A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365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  <w:lang w:val="en-US"/>
              </w:rPr>
            </w:pPr>
            <w:bookmarkStart w:id="167" w:name="_Toc470618224"/>
            <w:bookmarkStart w:id="168" w:name="_Toc470680141"/>
            <w:bookmarkEnd w:id="167"/>
            <w:bookmarkEnd w:id="168"/>
            <w:r>
              <w:rPr>
                <w:rFonts w:eastAsia="Calibri" w:cs="Times New Roman" w:ascii="Times New Roman" w:hAnsi="Times New Roman" w:eastAsiaTheme="minorHAnsi"/>
                <w:bCs/>
                <w:color w:val="00000A"/>
                <w:sz w:val="24"/>
                <w:szCs w:val="24"/>
                <w:lang w:val="en-US" w:eastAsia="ru-RU" w:bidi="ar-SA"/>
              </w:rPr>
              <w:t>3550</w:t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Arial" w:hAnsi="Arial" w:eastAsia="Times New Roman" w:cs="Times New Roman"/>
                <w:bCs/>
                <w:color w:val="00000A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bCs/>
                <w:color w:val="00000A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298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Arial" w:hAnsi="Arial" w:eastAsia="Times New Roman" w:cs="Times New Roman"/>
                <w:bCs/>
                <w:color w:val="00000A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bCs/>
                <w:color w:val="00000A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782" w:type="dxa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360" w:before="0" w:after="0"/>
              <w:ind w:firstLine="720"/>
              <w:jc w:val="both"/>
              <w:outlineLvl w:val="2"/>
              <w:rPr>
                <w:rFonts w:ascii="Arial" w:hAnsi="Arial" w:eastAsia="Times New Roman" w:cs="Times New Roman"/>
                <w:bCs/>
                <w:color w:val="00000A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bCs/>
                <w:color w:val="00000A"/>
                <w:sz w:val="24"/>
                <w:szCs w:val="20"/>
                <w:lang w:val="ru-RU" w:eastAsia="ru-RU" w:bidi="ar-SA"/>
              </w:rPr>
            </w:r>
          </w:p>
        </w:tc>
      </w:tr>
    </w:tbl>
    <w:p>
      <w:pPr>
        <w:pStyle w:val="Normal"/>
        <w:overflowPunct w:val="false"/>
        <w:spacing w:lineRule="auto" w:line="240" w:before="0" w:after="0"/>
        <w:textAlignment w:val="baseline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  <w:t xml:space="preserve">Программа инвестиционных проектов развития </w:t>
      </w:r>
      <w:r>
        <w:rPr>
          <w:rFonts w:eastAsia="Calibri" w:cs="Times New Roman" w:ascii="Times New Roman" w:hAnsi="Times New Roman"/>
          <w:b/>
          <w:spacing w:val="0"/>
          <w:sz w:val="28"/>
          <w:szCs w:val="28"/>
        </w:rPr>
        <w:t>системы  утилизации  ТБО</w:t>
      </w:r>
      <w:r>
        <w:rPr>
          <w:rFonts w:eastAsia="Calibri" w:cs="Times New Roman" w:ascii="Times New Roman" w:hAnsi="Times New Roman"/>
          <w:b/>
          <w:bCs/>
          <w:sz w:val="28"/>
          <w:szCs w:val="28"/>
        </w:rPr>
        <w:t xml:space="preserve"> Татарско-Тавлинского  сельского поселения 2017-2027 годы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</w:t>
      </w:r>
      <w:r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>3</w:t>
      </w:r>
    </w:p>
    <w:tbl>
      <w:tblPr>
        <w:tblStyle w:val="12"/>
        <w:tblW w:w="10314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1"/>
        <w:gridCol w:w="1163"/>
        <w:gridCol w:w="38"/>
        <w:gridCol w:w="995"/>
        <w:gridCol w:w="1"/>
        <w:gridCol w:w="1487"/>
        <w:gridCol w:w="1"/>
        <w:gridCol w:w="1468"/>
        <w:gridCol w:w="1"/>
        <w:gridCol w:w="1341"/>
        <w:gridCol w:w="1"/>
        <w:gridCol w:w="1447"/>
        <w:gridCol w:w="1"/>
        <w:gridCol w:w="1917"/>
      </w:tblGrid>
      <w:tr>
        <w:trPr/>
        <w:tc>
          <w:tcPr>
            <w:tcW w:w="4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№</w:t>
            </w:r>
          </w:p>
        </w:tc>
        <w:tc>
          <w:tcPr>
            <w:tcW w:w="120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Описание проекта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Цель проекта</w:t>
            </w:r>
          </w:p>
        </w:tc>
        <w:tc>
          <w:tcPr>
            <w:tcW w:w="148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Технические параметры проекта</w:t>
            </w:r>
          </w:p>
        </w:tc>
        <w:tc>
          <w:tcPr>
            <w:tcW w:w="146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Затраты на реализацию проекта(тыс. руб.)</w:t>
            </w:r>
          </w:p>
        </w:tc>
        <w:tc>
          <w:tcPr>
            <w:tcW w:w="134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Срок реализации проекта</w:t>
            </w:r>
          </w:p>
        </w:tc>
        <w:tc>
          <w:tcPr>
            <w:tcW w:w="144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Ожидаемый эффект от реализации проекта</w:t>
            </w:r>
          </w:p>
        </w:tc>
        <w:tc>
          <w:tcPr>
            <w:tcW w:w="191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Предполагаемый источник финансирования</w:t>
            </w:r>
          </w:p>
        </w:tc>
      </w:tr>
      <w:tr>
        <w:trPr/>
        <w:tc>
          <w:tcPr>
            <w:tcW w:w="4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120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148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146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5</w:t>
            </w:r>
          </w:p>
        </w:tc>
        <w:tc>
          <w:tcPr>
            <w:tcW w:w="134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6</w:t>
            </w:r>
          </w:p>
        </w:tc>
        <w:tc>
          <w:tcPr>
            <w:tcW w:w="144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7</w:t>
            </w:r>
          </w:p>
        </w:tc>
        <w:tc>
          <w:tcPr>
            <w:tcW w:w="191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8</w:t>
            </w:r>
          </w:p>
        </w:tc>
      </w:tr>
      <w:tr>
        <w:trPr>
          <w:trHeight w:val="1380" w:hRule="atLeast"/>
        </w:trPr>
        <w:tc>
          <w:tcPr>
            <w:tcW w:w="4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Установка баков ТБО</w:t>
            </w:r>
          </w:p>
        </w:tc>
        <w:tc>
          <w:tcPr>
            <w:tcW w:w="1034" w:type="dxa"/>
            <w:gridSpan w:val="3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48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lang w:val="ru-RU" w:eastAsia="ru-RU" w:bidi="ar-SA"/>
              </w:rPr>
              <w:t>5 м</w:t>
            </w:r>
            <w:r>
              <w:rPr>
                <w:rFonts w:eastAsia="Times New Roman" w:cs="Times New Roman" w:ascii="Times New Roman" w:hAnsi="Times New Roman"/>
                <w:color w:val="00000A"/>
                <w:sz w:val="24"/>
                <w:szCs w:val="24"/>
                <w:vertAlign w:val="superscript"/>
                <w:lang w:val="ru-RU" w:eastAsia="ru-RU" w:bidi="ar-SA"/>
              </w:rPr>
              <w:t>3</w:t>
            </w:r>
          </w:p>
        </w:tc>
        <w:tc>
          <w:tcPr>
            <w:tcW w:w="146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134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2017-2027</w:t>
            </w:r>
          </w:p>
        </w:tc>
        <w:tc>
          <w:tcPr>
            <w:tcW w:w="144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91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Средства бюджета</w:t>
            </w:r>
          </w:p>
        </w:tc>
      </w:tr>
      <w:tr>
        <w:trPr>
          <w:trHeight w:val="285" w:hRule="atLeast"/>
        </w:trPr>
        <w:tc>
          <w:tcPr>
            <w:tcW w:w="451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201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Итого</w:t>
            </w:r>
          </w:p>
        </w:tc>
        <w:tc>
          <w:tcPr>
            <w:tcW w:w="995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48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469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pacing w:val="0"/>
                <w:sz w:val="24"/>
                <w:szCs w:val="24"/>
                <w:lang w:val="ru-RU" w:eastAsia="ru-RU" w:bidi="ar-SA"/>
              </w:rPr>
              <w:t>20</w:t>
            </w:r>
          </w:p>
        </w:tc>
        <w:tc>
          <w:tcPr>
            <w:tcW w:w="1342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44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1918" w:type="dxa"/>
            <w:gridSpan w:val="2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firstLine="720"/>
              <w:jc w:val="both"/>
              <w:rPr>
                <w:rFonts w:ascii="Arial" w:hAnsi="Arial" w:eastAsia="Times New Roman" w:cs="Times New Roman"/>
                <w:color w:val="00000A"/>
                <w:spacing w:val="0"/>
                <w:sz w:val="24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Arial" w:hAnsi="Arial"/>
                <w:color w:val="00000A"/>
                <w:spacing w:val="0"/>
                <w:sz w:val="24"/>
                <w:szCs w:val="20"/>
                <w:lang w:val="ru-RU" w:eastAsia="ru-RU" w:bidi="ar-SA"/>
              </w:rPr>
            </w:r>
          </w:p>
        </w:tc>
      </w:tr>
    </w:tbl>
    <w:p>
      <w:pPr>
        <w:pStyle w:val="Normal"/>
        <w:rPr>
          <w:rFonts w:ascii="Times New Roman" w:hAnsi="Times New Roman" w:eastAsia="Calibri" w:cs="Times New Roman"/>
          <w:b/>
          <w:b/>
          <w:bCs/>
          <w:sz w:val="28"/>
          <w:szCs w:val="28"/>
        </w:rPr>
      </w:pPr>
      <w:r>
        <w:rPr>
          <w:rFonts w:eastAsia="Calibri" w:cs="Times New Roman" w:ascii="Times New Roman" w:hAnsi="Times New Roman"/>
          <w:b/>
          <w:bCs/>
          <w:sz w:val="28"/>
          <w:szCs w:val="28"/>
        </w:rPr>
      </w:r>
      <w:r>
        <w:br w:type="page"/>
      </w:r>
    </w:p>
    <w:p>
      <w:pPr>
        <w:pStyle w:val="1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Cs w:val="20"/>
          <w:lang w:eastAsia="ru-RU"/>
        </w:rPr>
      </w:pPr>
      <w:bookmarkStart w:id="169" w:name="_Toc470680142"/>
      <w:r>
        <w:rPr>
          <w:rFonts w:eastAsia="Times New Roman" w:cs="Times New Roman" w:ascii="Times New Roman" w:hAnsi="Times New Roman"/>
          <w:color w:val="000000" w:themeColor="text1"/>
          <w:szCs w:val="20"/>
          <w:lang w:eastAsia="ru-RU"/>
        </w:rPr>
        <w:t xml:space="preserve">9. </w:t>
      </w:r>
      <w:bookmarkEnd w:id="169"/>
      <w:r>
        <w:rPr>
          <w:rFonts w:eastAsia="Calibri" w:cs="Times New Roman" w:ascii="Times New Roman" w:hAnsi="Times New Roman"/>
          <w:color w:val="000000" w:themeColor="text1"/>
          <w:lang w:eastAsia="ru-RU"/>
        </w:rPr>
        <w:t>Финансовые потребности для реализации программы</w:t>
      </w:r>
    </w:p>
    <w:p>
      <w:pPr>
        <w:pStyle w:val="Normal"/>
        <w:spacing w:lineRule="auto" w:line="360"/>
        <w:ind w:firstLine="567"/>
        <w:jc w:val="both"/>
        <w:rPr>
          <w:rFonts w:ascii="Times New Roman" w:hAnsi="Times New Roman" w:eastAsia="Calibri" w:cs="Times New Roman"/>
          <w:b/>
          <w:b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b/>
          <w:sz w:val="28"/>
          <w:szCs w:val="28"/>
          <w:lang w:eastAsia="ru-RU"/>
        </w:rPr>
        <w:t>Объемы и сроки финансирования Программы комплексного развития систем коммунальной инфраструктуры муниципального образования на 2017 - 2027 годы (тыс.руб.)</w:t>
      </w:r>
    </w:p>
    <w:p>
      <w:pPr>
        <w:pStyle w:val="Normal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Таблица 14</w:t>
      </w:r>
    </w:p>
    <w:tbl>
      <w:tblPr>
        <w:tblW w:w="10854" w:type="dxa"/>
        <w:jc w:val="left"/>
        <w:tblInd w:w="-105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4"/>
        <w:gridCol w:w="2285"/>
        <w:gridCol w:w="1327"/>
        <w:gridCol w:w="1431"/>
        <w:gridCol w:w="1672"/>
        <w:gridCol w:w="1967"/>
        <w:gridCol w:w="1607"/>
      </w:tblGrid>
      <w:tr>
        <w:trPr>
          <w:trHeight w:val="327" w:hRule="atLeast"/>
        </w:trPr>
        <w:tc>
          <w:tcPr>
            <w:tcW w:w="56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24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70" w:name="_Toc470618226"/>
            <w:bookmarkStart w:id="171" w:name="_Toc470680143"/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 xml:space="preserve">№ </w:t>
            </w:r>
            <w:bookmarkEnd w:id="170"/>
            <w:bookmarkEnd w:id="171"/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п/п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22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Программы инвестиционных проектов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32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Всего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667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72" w:name="_Toc470618227"/>
            <w:bookmarkStart w:id="173" w:name="_Toc470680144"/>
            <w:bookmarkEnd w:id="172"/>
            <w:bookmarkEnd w:id="173"/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В том числе по источникам финансирования</w:t>
            </w:r>
          </w:p>
        </w:tc>
      </w:tr>
      <w:tr>
        <w:trPr>
          <w:trHeight w:val="422" w:hRule="atLeast"/>
        </w:trPr>
        <w:tc>
          <w:tcPr>
            <w:tcW w:w="56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200"/>
              <w:ind w:left="324" w:hanging="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228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200"/>
              <w:jc w:val="center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32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200"/>
              <w:jc w:val="center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74" w:name="_Toc470618228"/>
            <w:bookmarkStart w:id="175" w:name="_Toc470680145"/>
            <w:bookmarkEnd w:id="174"/>
            <w:bookmarkEnd w:id="175"/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Бюджетные средства всех уровней</w:t>
            </w: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76" w:name="_Toc470618229"/>
            <w:bookmarkStart w:id="177" w:name="_Toc470680146"/>
            <w:bookmarkEnd w:id="176"/>
            <w:bookmarkEnd w:id="177"/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Средства населения (плата за подключение)</w:t>
            </w:r>
          </w:p>
        </w:tc>
        <w:tc>
          <w:tcPr>
            <w:tcW w:w="1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78" w:name="_Toc470618230"/>
            <w:bookmarkStart w:id="179" w:name="_Toc470680147"/>
            <w:bookmarkEnd w:id="178"/>
            <w:bookmarkEnd w:id="179"/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Кредиты (инвестиционная надбавка к тарифам)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80" w:name="_Toc470618231"/>
            <w:bookmarkStart w:id="181" w:name="_Toc470680148"/>
            <w:bookmarkEnd w:id="180"/>
            <w:bookmarkEnd w:id="181"/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Прочие инвесторы застройщики</w:t>
            </w:r>
          </w:p>
        </w:tc>
      </w:tr>
      <w:tr>
        <w:trPr>
          <w:trHeight w:val="289" w:hRule="atLeast"/>
        </w:trPr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36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82" w:name="_Toc470618232"/>
            <w:bookmarkStart w:id="183" w:name="_Toc470680149"/>
            <w:bookmarkEnd w:id="182"/>
            <w:bookmarkEnd w:id="183"/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36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84" w:name="_Toc470618233"/>
            <w:bookmarkStart w:id="185" w:name="_Toc470680150"/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Программа инвестиционных проектов развития системы  водоснабжения</w:t>
            </w:r>
            <w:bookmarkEnd w:id="184"/>
            <w:bookmarkEnd w:id="185"/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35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35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36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18"/>
                <w:szCs w:val="18"/>
              </w:rPr>
            </w:pPr>
            <w:bookmarkStart w:id="186" w:name="_Toc470618234"/>
            <w:bookmarkStart w:id="187" w:name="_Toc470680151"/>
            <w:bookmarkEnd w:id="186"/>
            <w:bookmarkEnd w:id="187"/>
            <w:r>
              <w:rPr>
                <w:rFonts w:eastAsia="Calibri" w:cs="Times New Roman"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1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36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18"/>
                <w:szCs w:val="18"/>
              </w:rPr>
            </w:pPr>
            <w:bookmarkStart w:id="188" w:name="_Toc470618235"/>
            <w:bookmarkStart w:id="189" w:name="_Toc470680152"/>
            <w:bookmarkEnd w:id="188"/>
            <w:bookmarkEnd w:id="189"/>
            <w:r>
              <w:rPr>
                <w:rFonts w:eastAsia="Calibri" w:cs="Times New Roman" w:ascii="Times New Roman" w:hAnsi="Times New Roman"/>
                <w:bCs/>
                <w:sz w:val="18"/>
                <w:szCs w:val="18"/>
              </w:rPr>
              <w:t>-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36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18"/>
                <w:szCs w:val="18"/>
              </w:rPr>
            </w:pPr>
            <w:bookmarkStart w:id="190" w:name="_Toc470618236"/>
            <w:bookmarkStart w:id="191" w:name="_Toc470680153"/>
            <w:bookmarkEnd w:id="190"/>
            <w:bookmarkEnd w:id="191"/>
            <w:r>
              <w:rPr>
                <w:rFonts w:eastAsia="Calibri" w:cs="Times New Roman" w:ascii="Times New Roman" w:hAnsi="Times New Roman"/>
                <w:bCs/>
                <w:sz w:val="18"/>
                <w:szCs w:val="18"/>
              </w:rPr>
              <w:t>-</w:t>
            </w:r>
          </w:p>
        </w:tc>
      </w:tr>
      <w:tr>
        <w:trPr>
          <w:trHeight w:val="289" w:hRule="atLeast"/>
        </w:trPr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36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36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0"/>
                <w:sz w:val="24"/>
                <w:szCs w:val="24"/>
              </w:rPr>
              <w:t>Установка баков ТБО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36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Cs/>
                <w:sz w:val="18"/>
                <w:szCs w:val="18"/>
              </w:rPr>
            </w:r>
          </w:p>
        </w:tc>
        <w:tc>
          <w:tcPr>
            <w:tcW w:w="1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36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Cs/>
                <w:sz w:val="18"/>
                <w:szCs w:val="18"/>
              </w:rPr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36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Cs/>
                <w:sz w:val="18"/>
                <w:szCs w:val="18"/>
              </w:rPr>
            </w:r>
          </w:p>
        </w:tc>
      </w:tr>
      <w:tr>
        <w:trPr>
          <w:trHeight w:val="375" w:hRule="atLeast"/>
        </w:trPr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36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36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92" w:name="_Toc470618237"/>
            <w:bookmarkStart w:id="193" w:name="_Toc470680154"/>
            <w:bookmarkEnd w:id="192"/>
            <w:bookmarkEnd w:id="193"/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Всего по Программе</w:t>
            </w:r>
          </w:p>
        </w:tc>
        <w:tc>
          <w:tcPr>
            <w:tcW w:w="1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3570</w:t>
            </w:r>
          </w:p>
        </w:tc>
        <w:tc>
          <w:tcPr>
            <w:tcW w:w="14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3570</w:t>
            </w: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36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Cs/>
                <w:sz w:val="18"/>
                <w:szCs w:val="18"/>
              </w:rPr>
            </w:r>
          </w:p>
        </w:tc>
        <w:tc>
          <w:tcPr>
            <w:tcW w:w="1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36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Cs/>
                <w:sz w:val="18"/>
                <w:szCs w:val="18"/>
              </w:rPr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0"/>
              </w:numPr>
              <w:spacing w:lineRule="auto" w:line="360" w:before="0" w:after="20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bCs/>
                <w:sz w:val="18"/>
                <w:szCs w:val="18"/>
              </w:rPr>
            </w:r>
          </w:p>
        </w:tc>
      </w:tr>
    </w:tbl>
    <w:p>
      <w:pPr>
        <w:pStyle w:val="Normal"/>
        <w:overflowPunct w:val="false"/>
        <w:spacing w:lineRule="auto" w:line="240" w:before="0" w:after="0"/>
        <w:textAlignment w:val="baseline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</w:r>
      <w:r>
        <w:br w:type="page"/>
      </w:r>
    </w:p>
    <w:p>
      <w:pPr>
        <w:pStyle w:val="1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000000" w:themeColor="text1"/>
          <w:szCs w:val="20"/>
          <w:lang w:eastAsia="ru-RU"/>
        </w:rPr>
      </w:pPr>
      <w:bookmarkStart w:id="194" w:name="_Toc470680155"/>
      <w:bookmarkEnd w:id="194"/>
      <w:r>
        <w:rPr>
          <w:rFonts w:eastAsia="Calibri" w:cs="Times New Roman" w:ascii="Times New Roman" w:hAnsi="Times New Roman"/>
          <w:color w:val="000000" w:themeColor="text1"/>
          <w:lang w:eastAsia="ru-RU"/>
        </w:rPr>
        <w:t>10. Организация реализации проектов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eastAsia="Calibri" w:cs="Times New Roman"/>
          <w:b/>
          <w:b/>
          <w:color w:val="000000" w:themeColor="text1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b/>
          <w:color w:val="000000" w:themeColor="text1"/>
          <w:sz w:val="28"/>
          <w:szCs w:val="28"/>
          <w:lang w:eastAsia="ru-RU"/>
        </w:rPr>
        <w:t>Объемы и сроки финансирования Программы комплексного развития систем коммунальной инфраструктуры муниципального образования на 2017 - 2027 годы (тыс. руб.)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eastAsia="Calibri" w:cs="Times New Roman"/>
          <w:b/>
          <w:b/>
          <w:color w:val="000000" w:themeColor="text1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b/>
          <w:color w:val="000000" w:themeColor="text1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Таблица 15</w:t>
      </w:r>
    </w:p>
    <w:tbl>
      <w:tblPr>
        <w:tblW w:w="11542" w:type="dxa"/>
        <w:jc w:val="left"/>
        <w:tblInd w:w="-132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81"/>
        <w:gridCol w:w="2410"/>
        <w:gridCol w:w="851"/>
        <w:gridCol w:w="849"/>
        <w:gridCol w:w="850"/>
        <w:gridCol w:w="710"/>
        <w:gridCol w:w="849"/>
        <w:gridCol w:w="710"/>
        <w:gridCol w:w="710"/>
        <w:gridCol w:w="708"/>
        <w:gridCol w:w="710"/>
        <w:gridCol w:w="710"/>
        <w:gridCol w:w="566"/>
        <w:gridCol w:w="627"/>
      </w:tblGrid>
      <w:tr>
        <w:trPr>
          <w:trHeight w:val="435" w:hRule="atLeast"/>
          <w:cantSplit w:val="true"/>
        </w:trPr>
        <w:tc>
          <w:tcPr>
            <w:tcW w:w="28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ind w:left="0" w:right="0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before="0" w:after="200"/>
              <w:ind w:left="0" w:right="0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41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ind w:firstLine="567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Программы инвестиционных проектов</w:t>
            </w:r>
          </w:p>
        </w:tc>
        <w:tc>
          <w:tcPr>
            <w:tcW w:w="8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999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ind w:firstLine="11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 том числе по годам</w:t>
            </w:r>
          </w:p>
        </w:tc>
      </w:tr>
      <w:tr>
        <w:trPr>
          <w:trHeight w:val="874" w:hRule="atLeast"/>
          <w:cantSplit w:val="true"/>
        </w:trPr>
        <w:tc>
          <w:tcPr>
            <w:tcW w:w="28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ind w:firstLine="567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ind w:firstLine="567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ind w:firstLine="567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ind w:left="0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ind w:left="0" w:right="0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ind w:left="0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2027</w:t>
            </w:r>
          </w:p>
        </w:tc>
      </w:tr>
      <w:tr>
        <w:trPr>
          <w:trHeight w:val="175" w:hRule="atLeast"/>
        </w:trPr>
        <w:tc>
          <w:tcPr>
            <w:tcW w:w="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ind w:right="0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numPr>
                <w:ilvl w:val="0"/>
                <w:numId w:val="0"/>
              </w:numPr>
              <w:spacing w:lineRule="auto" w:line="360" w:before="0" w:after="200"/>
              <w:ind w:left="0" w:right="0" w:hanging="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bookmarkStart w:id="195" w:name="_Toc470618239"/>
            <w:bookmarkStart w:id="196" w:name="_Toc470680156"/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Программа инвестиционных проектов развития системы  водоснабжения</w:t>
            </w:r>
            <w:bookmarkEnd w:id="195"/>
            <w:bookmarkEnd w:id="196"/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35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322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322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322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322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322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322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322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322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322</w:t>
            </w:r>
          </w:p>
        </w:tc>
        <w:tc>
          <w:tcPr>
            <w:tcW w:w="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322</w:t>
            </w:r>
          </w:p>
        </w:tc>
      </w:tr>
      <w:tr>
        <w:trPr>
          <w:trHeight w:val="175" w:hRule="atLeast"/>
        </w:trPr>
        <w:tc>
          <w:tcPr>
            <w:tcW w:w="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ind w:right="0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bookmarkStart w:id="197" w:name="_GoBack"/>
            <w:bookmarkEnd w:id="197"/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numPr>
                <w:ilvl w:val="0"/>
                <w:numId w:val="0"/>
              </w:numPr>
              <w:spacing w:lineRule="auto" w:line="360" w:before="0" w:after="200"/>
              <w:ind w:left="0" w:right="0" w:hanging="0"/>
              <w:jc w:val="center"/>
              <w:outlineLvl w:val="2"/>
              <w:rPr>
                <w:rFonts w:ascii="Times New Roman" w:hAnsi="Times New Roman"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Установка баков ТБО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ind w:left="0" w:right="0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1,8</w:t>
            </w:r>
          </w:p>
        </w:tc>
      </w:tr>
      <w:tr>
        <w:trPr>
          <w:trHeight w:val="180" w:hRule="atLeast"/>
        </w:trPr>
        <w:tc>
          <w:tcPr>
            <w:tcW w:w="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ind w:right="0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  <w:highlight w:val="yellow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ind w:firstLine="317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Всего по Программе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3570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324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324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324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324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324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324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324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324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324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324</w:t>
            </w:r>
          </w:p>
        </w:tc>
        <w:tc>
          <w:tcPr>
            <w:tcW w:w="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324</w:t>
            </w:r>
          </w:p>
        </w:tc>
      </w:tr>
    </w:tbl>
    <w:p>
      <w:pPr>
        <w:pStyle w:val="Normal"/>
        <w:tabs>
          <w:tab w:val="left" w:pos="2354" w:leader="none"/>
        </w:tabs>
        <w:spacing w:lineRule="auto" w:line="259" w:before="0" w:after="160"/>
        <w:ind w:left="426" w:hanging="0"/>
        <w:contextualSpacing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</w:r>
      <w:r>
        <w:br w:type="page"/>
      </w:r>
    </w:p>
    <w:p>
      <w:pPr>
        <w:pStyle w:val="1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color w:val="000000" w:themeColor="text1"/>
        </w:rPr>
      </w:pPr>
      <w:bookmarkStart w:id="198" w:name="_Toc470680157"/>
      <w:bookmarkEnd w:id="198"/>
      <w:r>
        <w:rPr>
          <w:rFonts w:eastAsia="Calibri" w:cs="Times New Roman" w:ascii="Times New Roman" w:hAnsi="Times New Roman"/>
          <w:color w:val="000000" w:themeColor="text1"/>
        </w:rPr>
        <w:t>11. Программы инвестиционных проектов, тариф и плата за подключение (присоединение)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Финансирование Программы намечается осуществлять за счет консолидации средств федерального, регионального, муниципальных бюджетов и внебюджетных источников.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Внебюджетные источники - средства муниципальных предприятий ЖКХ, заемные средства, средства организаций различных форм собственности, осуществляющих обслуживание и ремонт жилищного фонда, инженерных сетей и объектов коммунального назначения, средства населения, надбавки к тарифам (инвестиционная надбавка) и плата за подключение к коммунальным сетям.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В качестве потенциальных источников финансирования программы являются средства федерального и регионального бюджетов, в том числе выделенные для реализации федеральных и региональных программ, средства инвесторов. Объемы ассигнований, выделяемых из вышеперечисленных источников, ежегодно уточняются с учетом их возможностей и достигнутых соглашений.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Запланированный объем средств на реализацию Программы на 2017 - 2027 годы 3570</w:t>
      </w:r>
      <w:r>
        <w:rPr>
          <w:rFonts w:eastAsia="Calibri" w:cs="Times New Roman"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тыс. рублей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  <w:t>Финансово-экономическое обоснование программы на 2017 - 2027 годы будет производиться ежегодно, по мере уточнения утверждения инвестиционных программ и объемов финансирования.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</w:r>
      <w:r>
        <w:br w:type="page"/>
      </w:r>
    </w:p>
    <w:p>
      <w:pPr>
        <w:pStyle w:val="1"/>
        <w:spacing w:lineRule="auto" w:line="360" w:before="0" w:after="0"/>
        <w:ind w:firstLine="567"/>
        <w:jc w:val="both"/>
        <w:rPr>
          <w:rFonts w:ascii="Times New Roman" w:hAnsi="Times New Roman" w:eastAsia="Calibri" w:cs="Times New Roman"/>
          <w:color w:val="000000" w:themeColor="text1"/>
        </w:rPr>
      </w:pPr>
      <w:bookmarkStart w:id="199" w:name="_Toc470680158"/>
      <w:r>
        <w:rPr>
          <w:rFonts w:eastAsia="Calibri" w:cs="Times New Roman" w:ascii="Times New Roman" w:hAnsi="Times New Roman"/>
          <w:color w:val="000000" w:themeColor="text1"/>
        </w:rPr>
        <w:t>12. Прогноз расходов населения на коммунальные ресурсы, расходов бюджета на социальную поддержку и субсидии, проверка доступности тарифов на коммунальные услуги</w:t>
      </w:r>
      <w:bookmarkEnd w:id="199"/>
      <w:r>
        <w:rPr>
          <w:rFonts w:eastAsia="Calibri" w:cs="Times New Roman" w:ascii="Times New Roman" w:hAnsi="Times New Roman"/>
          <w:color w:val="000000" w:themeColor="text1"/>
        </w:rPr>
        <w:t xml:space="preserve"> </w:t>
      </w:r>
    </w:p>
    <w:p>
      <w:pPr>
        <w:pStyle w:val="Normal"/>
        <w:spacing w:lineRule="auto" w:line="360" w:before="0" w:after="0"/>
        <w:ind w:right="0" w:firstLine="709"/>
        <w:jc w:val="both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tabs>
          <w:tab w:val="left" w:pos="2354" w:leader="none"/>
        </w:tabs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Цены (тарифы) на электроэнергию для населения и приравненным к нему категориям потребителей по Республике Мордовия</w:t>
      </w:r>
    </w:p>
    <w:tbl>
      <w:tblPr>
        <w:tblStyle w:val="21"/>
        <w:tblW w:w="9572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39"/>
        <w:gridCol w:w="4205"/>
        <w:gridCol w:w="1475"/>
        <w:gridCol w:w="1476"/>
        <w:gridCol w:w="1477"/>
      </w:tblGrid>
      <w:tr>
        <w:trPr/>
        <w:tc>
          <w:tcPr>
            <w:tcW w:w="939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>п/п</w:t>
            </w:r>
          </w:p>
        </w:tc>
        <w:tc>
          <w:tcPr>
            <w:tcW w:w="4205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>Показатель (группы потребителей с разбивкой по ставкам и дифференциацией по зонам суток)</w:t>
            </w:r>
          </w:p>
        </w:tc>
        <w:tc>
          <w:tcPr>
            <w:tcW w:w="1475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 xml:space="preserve">Единица измерения </w:t>
            </w:r>
          </w:p>
        </w:tc>
        <w:tc>
          <w:tcPr>
            <w:tcW w:w="1476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 xml:space="preserve">с 01.01.2016 </w:t>
            </w:r>
          </w:p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 xml:space="preserve">по 30.06.2016 </w:t>
            </w:r>
          </w:p>
        </w:tc>
        <w:tc>
          <w:tcPr>
            <w:tcW w:w="147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>с 01.07.2016</w:t>
            </w:r>
          </w:p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>по 31.12.2016</w:t>
            </w:r>
          </w:p>
        </w:tc>
      </w:tr>
      <w:tr>
        <w:trPr/>
        <w:tc>
          <w:tcPr>
            <w:tcW w:w="939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>1</w:t>
            </w:r>
          </w:p>
        </w:tc>
        <w:tc>
          <w:tcPr>
            <w:tcW w:w="4205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>Одноставочный тариф</w:t>
            </w:r>
          </w:p>
        </w:tc>
        <w:tc>
          <w:tcPr>
            <w:tcW w:w="1475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>руб./ кВт*ч</w:t>
            </w:r>
          </w:p>
        </w:tc>
        <w:tc>
          <w:tcPr>
            <w:tcW w:w="1476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>3,12</w:t>
            </w:r>
          </w:p>
        </w:tc>
        <w:tc>
          <w:tcPr>
            <w:tcW w:w="147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>3,25</w:t>
            </w:r>
          </w:p>
        </w:tc>
      </w:tr>
      <w:tr>
        <w:trPr/>
        <w:tc>
          <w:tcPr>
            <w:tcW w:w="9572" w:type="dxa"/>
            <w:gridSpan w:val="5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 xml:space="preserve">Одноставочный тариф, дифференцированный по двум зонам суток </w:t>
            </w:r>
          </w:p>
        </w:tc>
      </w:tr>
      <w:tr>
        <w:trPr/>
        <w:tc>
          <w:tcPr>
            <w:tcW w:w="939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>2.1</w:t>
            </w:r>
          </w:p>
        </w:tc>
        <w:tc>
          <w:tcPr>
            <w:tcW w:w="4205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 xml:space="preserve">Дневная зона (пиковая и полупиковая) </w:t>
            </w:r>
          </w:p>
        </w:tc>
        <w:tc>
          <w:tcPr>
            <w:tcW w:w="1475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>руб./ кВт*ч</w:t>
            </w:r>
          </w:p>
        </w:tc>
        <w:tc>
          <w:tcPr>
            <w:tcW w:w="1476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>3,29</w:t>
            </w:r>
          </w:p>
        </w:tc>
        <w:tc>
          <w:tcPr>
            <w:tcW w:w="147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>3,52</w:t>
            </w:r>
          </w:p>
        </w:tc>
      </w:tr>
      <w:tr>
        <w:trPr/>
        <w:tc>
          <w:tcPr>
            <w:tcW w:w="939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 xml:space="preserve">2.2 </w:t>
            </w:r>
          </w:p>
        </w:tc>
        <w:tc>
          <w:tcPr>
            <w:tcW w:w="4205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 xml:space="preserve">Ночная зона </w:t>
            </w:r>
          </w:p>
        </w:tc>
        <w:tc>
          <w:tcPr>
            <w:tcW w:w="1475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>руб./ кВт*ч</w:t>
            </w:r>
          </w:p>
        </w:tc>
        <w:tc>
          <w:tcPr>
            <w:tcW w:w="1476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>1,58</w:t>
            </w:r>
          </w:p>
        </w:tc>
        <w:tc>
          <w:tcPr>
            <w:tcW w:w="147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4F81BD" w:themeColor="accent1"/>
                <w:sz w:val="28"/>
                <w:szCs w:val="28"/>
              </w:rPr>
              <w:t>1,69</w:t>
            </w:r>
          </w:p>
        </w:tc>
      </w:tr>
    </w:tbl>
    <w:p>
      <w:pPr>
        <w:pStyle w:val="Normal"/>
        <w:tabs>
          <w:tab w:val="left" w:pos="2354" w:leader="none"/>
        </w:tabs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2354" w:leader="none"/>
        </w:tabs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Информация об утвержденных тарифах на коммунальные услуги на 2016 год</w:t>
      </w:r>
    </w:p>
    <w:p>
      <w:pPr>
        <w:pStyle w:val="Normal"/>
        <w:tabs>
          <w:tab w:val="left" w:pos="2354" w:leader="none"/>
        </w:tabs>
        <w:spacing w:lineRule="auto" w:line="36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tbl>
      <w:tblPr>
        <w:tblStyle w:val="21"/>
        <w:tblW w:w="10314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82"/>
        <w:gridCol w:w="687"/>
        <w:gridCol w:w="967"/>
        <w:gridCol w:w="1"/>
        <w:gridCol w:w="732"/>
        <w:gridCol w:w="922"/>
        <w:gridCol w:w="1"/>
        <w:gridCol w:w="1059"/>
        <w:gridCol w:w="1"/>
        <w:gridCol w:w="713"/>
        <w:gridCol w:w="940"/>
        <w:gridCol w:w="2"/>
        <w:gridCol w:w="759"/>
        <w:gridCol w:w="894"/>
        <w:gridCol w:w="3"/>
        <w:gridCol w:w="1049"/>
      </w:tblGrid>
      <w:tr>
        <w:trPr/>
        <w:tc>
          <w:tcPr>
            <w:tcW w:w="1582" w:type="dxa"/>
            <w:vMerge w:val="restart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369" w:type="dxa"/>
            <w:gridSpan w:val="7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Водоснабжение  (руб./м3)</w:t>
            </w:r>
          </w:p>
        </w:tc>
        <w:tc>
          <w:tcPr>
            <w:tcW w:w="4361" w:type="dxa"/>
            <w:gridSpan w:val="8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Водоотведение (руб./м3)</w:t>
            </w:r>
          </w:p>
        </w:tc>
      </w:tr>
      <w:tr>
        <w:trPr/>
        <w:tc>
          <w:tcPr>
            <w:tcW w:w="1582" w:type="dxa"/>
            <w:vMerge w:val="continue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1655" w:type="dxa"/>
            <w:gridSpan w:val="3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 01.01. по 30.06</w:t>
            </w:r>
          </w:p>
        </w:tc>
        <w:tc>
          <w:tcPr>
            <w:tcW w:w="1655" w:type="dxa"/>
            <w:gridSpan w:val="3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с 01.07. по 31.12 </w:t>
            </w:r>
          </w:p>
        </w:tc>
        <w:tc>
          <w:tcPr>
            <w:tcW w:w="1060" w:type="dxa"/>
            <w:gridSpan w:val="2"/>
            <w:vMerge w:val="restart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% роста для населения</w:t>
            </w:r>
          </w:p>
        </w:tc>
        <w:tc>
          <w:tcPr>
            <w:tcW w:w="1655" w:type="dxa"/>
            <w:gridSpan w:val="3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 01.01. по 30.06</w:t>
            </w:r>
          </w:p>
        </w:tc>
        <w:tc>
          <w:tcPr>
            <w:tcW w:w="1656" w:type="dxa"/>
            <w:gridSpan w:val="3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с 01.07. по 31.12 </w:t>
            </w:r>
          </w:p>
        </w:tc>
        <w:tc>
          <w:tcPr>
            <w:tcW w:w="1049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% роста для населения</w:t>
            </w:r>
          </w:p>
        </w:tc>
      </w:tr>
      <w:tr>
        <w:trPr/>
        <w:tc>
          <w:tcPr>
            <w:tcW w:w="1582" w:type="dxa"/>
            <w:vMerge w:val="continue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68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ЭОТ</w:t>
            </w:r>
          </w:p>
        </w:tc>
        <w:tc>
          <w:tcPr>
            <w:tcW w:w="96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733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ЭОТ</w:t>
            </w:r>
          </w:p>
        </w:tc>
        <w:tc>
          <w:tcPr>
            <w:tcW w:w="92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060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714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ЭОТ</w:t>
            </w:r>
          </w:p>
        </w:tc>
        <w:tc>
          <w:tcPr>
            <w:tcW w:w="940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761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ЭОТ</w:t>
            </w:r>
          </w:p>
        </w:tc>
        <w:tc>
          <w:tcPr>
            <w:tcW w:w="894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0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</w:tr>
      <w:tr>
        <w:trPr/>
        <w:tc>
          <w:tcPr>
            <w:tcW w:w="10312" w:type="dxa"/>
            <w:gridSpan w:val="16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Лямбирский  муниципальный район</w:t>
            </w:r>
          </w:p>
        </w:tc>
      </w:tr>
      <w:tr>
        <w:trPr/>
        <w:tc>
          <w:tcPr>
            <w:tcW w:w="158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240" w:before="0" w:after="0"/>
              <w:ind w:left="0" w:hanging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ООО «Эффектресурс» (Атемар,Скрябино,Протасово) </w:t>
            </w:r>
          </w:p>
        </w:tc>
        <w:tc>
          <w:tcPr>
            <w:tcW w:w="68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31.63</w:t>
            </w:r>
          </w:p>
        </w:tc>
        <w:tc>
          <w:tcPr>
            <w:tcW w:w="96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24,29</w:t>
            </w:r>
          </w:p>
        </w:tc>
        <w:tc>
          <w:tcPr>
            <w:tcW w:w="733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31,63</w:t>
            </w:r>
          </w:p>
        </w:tc>
        <w:tc>
          <w:tcPr>
            <w:tcW w:w="92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31.63</w:t>
            </w:r>
          </w:p>
        </w:tc>
        <w:tc>
          <w:tcPr>
            <w:tcW w:w="1060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130,22</w:t>
            </w:r>
          </w:p>
        </w:tc>
        <w:tc>
          <w:tcPr>
            <w:tcW w:w="714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11,15</w:t>
            </w:r>
          </w:p>
        </w:tc>
        <w:tc>
          <w:tcPr>
            <w:tcW w:w="940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7,46</w:t>
            </w:r>
          </w:p>
        </w:tc>
        <w:tc>
          <w:tcPr>
            <w:tcW w:w="761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11,15</w:t>
            </w:r>
          </w:p>
        </w:tc>
        <w:tc>
          <w:tcPr>
            <w:tcW w:w="894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11,15</w:t>
            </w:r>
          </w:p>
        </w:tc>
        <w:tc>
          <w:tcPr>
            <w:tcW w:w="10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149,46</w:t>
            </w:r>
          </w:p>
        </w:tc>
      </w:tr>
      <w:tr>
        <w:trPr/>
        <w:tc>
          <w:tcPr>
            <w:tcW w:w="158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24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ООО Лямбирские тепло-водо сети» </w:t>
            </w:r>
          </w:p>
        </w:tc>
        <w:tc>
          <w:tcPr>
            <w:tcW w:w="68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18,51</w:t>
            </w:r>
          </w:p>
        </w:tc>
        <w:tc>
          <w:tcPr>
            <w:tcW w:w="96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18,51</w:t>
            </w:r>
          </w:p>
        </w:tc>
        <w:tc>
          <w:tcPr>
            <w:tcW w:w="733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19,76</w:t>
            </w:r>
          </w:p>
        </w:tc>
        <w:tc>
          <w:tcPr>
            <w:tcW w:w="92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19,76</w:t>
            </w:r>
          </w:p>
        </w:tc>
        <w:tc>
          <w:tcPr>
            <w:tcW w:w="1060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106,75</w:t>
            </w:r>
          </w:p>
        </w:tc>
        <w:tc>
          <w:tcPr>
            <w:tcW w:w="714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14,88</w:t>
            </w:r>
          </w:p>
        </w:tc>
        <w:tc>
          <w:tcPr>
            <w:tcW w:w="940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14,88</w:t>
            </w:r>
          </w:p>
        </w:tc>
        <w:tc>
          <w:tcPr>
            <w:tcW w:w="761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15,55</w:t>
            </w:r>
          </w:p>
        </w:tc>
        <w:tc>
          <w:tcPr>
            <w:tcW w:w="894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15,55</w:t>
            </w:r>
          </w:p>
        </w:tc>
        <w:tc>
          <w:tcPr>
            <w:tcW w:w="10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104,50</w:t>
            </w:r>
          </w:p>
        </w:tc>
      </w:tr>
      <w:tr>
        <w:trPr/>
        <w:tc>
          <w:tcPr>
            <w:tcW w:w="158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24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ООО «Строительная Инициатива»</w:t>
            </w:r>
          </w:p>
        </w:tc>
        <w:tc>
          <w:tcPr>
            <w:tcW w:w="68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21,37</w:t>
            </w:r>
          </w:p>
        </w:tc>
        <w:tc>
          <w:tcPr>
            <w:tcW w:w="96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21,37</w:t>
            </w:r>
          </w:p>
        </w:tc>
        <w:tc>
          <w:tcPr>
            <w:tcW w:w="733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22,75</w:t>
            </w:r>
          </w:p>
        </w:tc>
        <w:tc>
          <w:tcPr>
            <w:tcW w:w="92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22,75</w:t>
            </w:r>
          </w:p>
        </w:tc>
        <w:tc>
          <w:tcPr>
            <w:tcW w:w="1060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106,46</w:t>
            </w:r>
          </w:p>
        </w:tc>
        <w:tc>
          <w:tcPr>
            <w:tcW w:w="714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8,00</w:t>
            </w:r>
          </w:p>
        </w:tc>
        <w:tc>
          <w:tcPr>
            <w:tcW w:w="940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8,00</w:t>
            </w:r>
          </w:p>
        </w:tc>
        <w:tc>
          <w:tcPr>
            <w:tcW w:w="761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8,50</w:t>
            </w:r>
          </w:p>
        </w:tc>
        <w:tc>
          <w:tcPr>
            <w:tcW w:w="894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8,50</w:t>
            </w:r>
          </w:p>
        </w:tc>
        <w:tc>
          <w:tcPr>
            <w:tcW w:w="10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106,25</w:t>
            </w:r>
          </w:p>
        </w:tc>
      </w:tr>
      <w:tr>
        <w:trPr>
          <w:trHeight w:val="2276" w:hRule="atLeast"/>
        </w:trPr>
        <w:tc>
          <w:tcPr>
            <w:tcW w:w="158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24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ГБУЗ РМ «Мордовская республиканская психиатрическая больница» </w:t>
            </w:r>
          </w:p>
        </w:tc>
        <w:tc>
          <w:tcPr>
            <w:tcW w:w="68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15,48</w:t>
            </w:r>
          </w:p>
        </w:tc>
        <w:tc>
          <w:tcPr>
            <w:tcW w:w="96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15,48</w:t>
            </w:r>
          </w:p>
        </w:tc>
        <w:tc>
          <w:tcPr>
            <w:tcW w:w="733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16,35</w:t>
            </w:r>
          </w:p>
        </w:tc>
        <w:tc>
          <w:tcPr>
            <w:tcW w:w="92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16,35</w:t>
            </w:r>
          </w:p>
        </w:tc>
        <w:tc>
          <w:tcPr>
            <w:tcW w:w="1060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105,62</w:t>
            </w:r>
          </w:p>
        </w:tc>
        <w:tc>
          <w:tcPr>
            <w:tcW w:w="714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7,50</w:t>
            </w:r>
          </w:p>
        </w:tc>
        <w:tc>
          <w:tcPr>
            <w:tcW w:w="940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7,50</w:t>
            </w:r>
          </w:p>
        </w:tc>
        <w:tc>
          <w:tcPr>
            <w:tcW w:w="761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7,87</w:t>
            </w:r>
          </w:p>
        </w:tc>
        <w:tc>
          <w:tcPr>
            <w:tcW w:w="894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7,87</w:t>
            </w:r>
          </w:p>
        </w:tc>
        <w:tc>
          <w:tcPr>
            <w:tcW w:w="10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104,93</w:t>
            </w:r>
          </w:p>
        </w:tc>
      </w:tr>
      <w:tr>
        <w:trPr/>
        <w:tc>
          <w:tcPr>
            <w:tcW w:w="158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24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ИП Секаев</w:t>
            </w:r>
          </w:p>
        </w:tc>
        <w:tc>
          <w:tcPr>
            <w:tcW w:w="68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26,42</w:t>
            </w:r>
          </w:p>
        </w:tc>
        <w:tc>
          <w:tcPr>
            <w:tcW w:w="96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26,42</w:t>
            </w:r>
          </w:p>
        </w:tc>
        <w:tc>
          <w:tcPr>
            <w:tcW w:w="733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27,75</w:t>
            </w:r>
          </w:p>
        </w:tc>
        <w:tc>
          <w:tcPr>
            <w:tcW w:w="92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27,75</w:t>
            </w:r>
          </w:p>
        </w:tc>
        <w:tc>
          <w:tcPr>
            <w:tcW w:w="1060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105,03</w:t>
            </w:r>
          </w:p>
        </w:tc>
        <w:tc>
          <w:tcPr>
            <w:tcW w:w="714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940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761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894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10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</w:tr>
      <w:tr>
        <w:trPr/>
        <w:tc>
          <w:tcPr>
            <w:tcW w:w="158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24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68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96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733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92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1060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714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940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761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894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10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</w:tr>
      <w:tr>
        <w:trPr/>
        <w:tc>
          <w:tcPr>
            <w:tcW w:w="1582" w:type="dxa"/>
            <w:vMerge w:val="restart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369" w:type="dxa"/>
            <w:gridSpan w:val="7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Тепловая энергия (руб./Гкал)</w:t>
            </w:r>
          </w:p>
        </w:tc>
        <w:tc>
          <w:tcPr>
            <w:tcW w:w="4361" w:type="dxa"/>
            <w:gridSpan w:val="8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Горячая вода (руб./ м3)</w:t>
            </w:r>
          </w:p>
        </w:tc>
      </w:tr>
      <w:tr>
        <w:trPr/>
        <w:tc>
          <w:tcPr>
            <w:tcW w:w="1582" w:type="dxa"/>
            <w:vMerge w:val="continue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1655" w:type="dxa"/>
            <w:gridSpan w:val="3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 01.01. по 30.06</w:t>
            </w:r>
          </w:p>
        </w:tc>
        <w:tc>
          <w:tcPr>
            <w:tcW w:w="1655" w:type="dxa"/>
            <w:gridSpan w:val="3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с 01.07. по 31.12 </w:t>
            </w:r>
          </w:p>
        </w:tc>
        <w:tc>
          <w:tcPr>
            <w:tcW w:w="1060" w:type="dxa"/>
            <w:gridSpan w:val="2"/>
            <w:vMerge w:val="restart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% роста для населения</w:t>
            </w:r>
          </w:p>
        </w:tc>
        <w:tc>
          <w:tcPr>
            <w:tcW w:w="1655" w:type="dxa"/>
            <w:gridSpan w:val="3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 01.01. по 30.06</w:t>
            </w:r>
          </w:p>
        </w:tc>
        <w:tc>
          <w:tcPr>
            <w:tcW w:w="1656" w:type="dxa"/>
            <w:gridSpan w:val="3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с 01.07. по 31.12 </w:t>
            </w:r>
          </w:p>
        </w:tc>
        <w:tc>
          <w:tcPr>
            <w:tcW w:w="1049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% роста для населения</w:t>
            </w:r>
          </w:p>
        </w:tc>
      </w:tr>
      <w:tr>
        <w:trPr/>
        <w:tc>
          <w:tcPr>
            <w:tcW w:w="1582" w:type="dxa"/>
            <w:vMerge w:val="continue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68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ЭОТ</w:t>
            </w:r>
          </w:p>
        </w:tc>
        <w:tc>
          <w:tcPr>
            <w:tcW w:w="96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733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ЭОТ</w:t>
            </w:r>
          </w:p>
        </w:tc>
        <w:tc>
          <w:tcPr>
            <w:tcW w:w="92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060" w:type="dxa"/>
            <w:gridSpan w:val="2"/>
            <w:vMerge w:val="continue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714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ЭОТ</w:t>
            </w:r>
          </w:p>
        </w:tc>
        <w:tc>
          <w:tcPr>
            <w:tcW w:w="940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761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ЭОТ</w:t>
            </w:r>
          </w:p>
        </w:tc>
        <w:tc>
          <w:tcPr>
            <w:tcW w:w="894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0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</w:tr>
      <w:tr>
        <w:trPr/>
        <w:tc>
          <w:tcPr>
            <w:tcW w:w="10312" w:type="dxa"/>
            <w:gridSpan w:val="16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Лямбирский  муниципальный район</w:t>
            </w:r>
          </w:p>
        </w:tc>
      </w:tr>
      <w:tr>
        <w:trPr/>
        <w:tc>
          <w:tcPr>
            <w:tcW w:w="158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24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ООО «Энергоресурс»  (Коммунар)</w:t>
            </w:r>
          </w:p>
        </w:tc>
        <w:tc>
          <w:tcPr>
            <w:tcW w:w="68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3021,69</w:t>
            </w:r>
          </w:p>
        </w:tc>
        <w:tc>
          <w:tcPr>
            <w:tcW w:w="96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1661,00</w:t>
            </w:r>
          </w:p>
        </w:tc>
        <w:tc>
          <w:tcPr>
            <w:tcW w:w="733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3209,29</w:t>
            </w:r>
          </w:p>
        </w:tc>
        <w:tc>
          <w:tcPr>
            <w:tcW w:w="92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1784,37</w:t>
            </w:r>
          </w:p>
        </w:tc>
        <w:tc>
          <w:tcPr>
            <w:tcW w:w="1060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107,43</w:t>
            </w:r>
          </w:p>
        </w:tc>
        <w:tc>
          <w:tcPr>
            <w:tcW w:w="714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940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761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894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10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</w:tr>
      <w:tr>
        <w:trPr/>
        <w:tc>
          <w:tcPr>
            <w:tcW w:w="158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24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ООО «Энергоресурс» (Атемар, п.Николаевка)</w:t>
            </w:r>
          </w:p>
        </w:tc>
        <w:tc>
          <w:tcPr>
            <w:tcW w:w="68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1836,86</w:t>
            </w:r>
          </w:p>
        </w:tc>
        <w:tc>
          <w:tcPr>
            <w:tcW w:w="96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1795</w:t>
            </w:r>
          </w:p>
        </w:tc>
        <w:tc>
          <w:tcPr>
            <w:tcW w:w="733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1962</w:t>
            </w:r>
          </w:p>
        </w:tc>
        <w:tc>
          <w:tcPr>
            <w:tcW w:w="92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1917,29</w:t>
            </w:r>
          </w:p>
        </w:tc>
        <w:tc>
          <w:tcPr>
            <w:tcW w:w="1060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106,81</w:t>
            </w:r>
          </w:p>
        </w:tc>
        <w:tc>
          <w:tcPr>
            <w:tcW w:w="714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940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761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894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10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</w:tr>
      <w:tr>
        <w:trPr/>
        <w:tc>
          <w:tcPr>
            <w:tcW w:w="158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24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ООО Лямбирские тепло-водо сети»</w:t>
            </w:r>
          </w:p>
        </w:tc>
        <w:tc>
          <w:tcPr>
            <w:tcW w:w="68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1794</w:t>
            </w:r>
          </w:p>
        </w:tc>
        <w:tc>
          <w:tcPr>
            <w:tcW w:w="96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1794</w:t>
            </w:r>
          </w:p>
        </w:tc>
        <w:tc>
          <w:tcPr>
            <w:tcW w:w="733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1918,91</w:t>
            </w:r>
          </w:p>
        </w:tc>
        <w:tc>
          <w:tcPr>
            <w:tcW w:w="92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1918,91</w:t>
            </w:r>
          </w:p>
        </w:tc>
        <w:tc>
          <w:tcPr>
            <w:tcW w:w="1060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106,96</w:t>
            </w:r>
          </w:p>
        </w:tc>
        <w:tc>
          <w:tcPr>
            <w:tcW w:w="714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112,43</w:t>
            </w:r>
          </w:p>
        </w:tc>
        <w:tc>
          <w:tcPr>
            <w:tcW w:w="940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112,43</w:t>
            </w:r>
          </w:p>
        </w:tc>
        <w:tc>
          <w:tcPr>
            <w:tcW w:w="761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120,22</w:t>
            </w:r>
          </w:p>
        </w:tc>
        <w:tc>
          <w:tcPr>
            <w:tcW w:w="894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120,22</w:t>
            </w:r>
          </w:p>
        </w:tc>
        <w:tc>
          <w:tcPr>
            <w:tcW w:w="10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106,93</w:t>
            </w:r>
          </w:p>
        </w:tc>
      </w:tr>
      <w:tr>
        <w:trPr/>
        <w:tc>
          <w:tcPr>
            <w:tcW w:w="158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24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ООО «Строительная Инициатива»</w:t>
            </w:r>
          </w:p>
        </w:tc>
        <w:tc>
          <w:tcPr>
            <w:tcW w:w="68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1661</w:t>
            </w:r>
          </w:p>
        </w:tc>
        <w:tc>
          <w:tcPr>
            <w:tcW w:w="96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1661</w:t>
            </w:r>
          </w:p>
        </w:tc>
        <w:tc>
          <w:tcPr>
            <w:tcW w:w="733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1769,13</w:t>
            </w:r>
          </w:p>
        </w:tc>
        <w:tc>
          <w:tcPr>
            <w:tcW w:w="92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1769.13</w:t>
            </w:r>
          </w:p>
        </w:tc>
        <w:tc>
          <w:tcPr>
            <w:tcW w:w="1060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106,51</w:t>
            </w:r>
          </w:p>
        </w:tc>
        <w:tc>
          <w:tcPr>
            <w:tcW w:w="714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940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761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894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  <w:tc>
          <w:tcPr>
            <w:tcW w:w="10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Cambria" w:hAnsi="Cambria" w:eastAsia="" w:cs="" w:asciiTheme="majorHAnsi" w:cstheme="majorBidi" w:eastAsiaTheme="majorEastAsia" w:hAnsiTheme="majorHAnsi"/>
                <w:b/>
                <w:b/>
                <w:bCs/>
                <w:color w:val="4F81BD" w:themeColor="accent1"/>
                <w:sz w:val="26"/>
                <w:szCs w:val="26"/>
                <w:lang w:eastAsia="ru-RU"/>
              </w:rPr>
            </w:pPr>
            <w:r>
              <w:rPr>
                <w:rFonts w:eastAsia="" w:cs="" w:cstheme="majorBidi" w:eastAsiaTheme="majorEastAsia" w:ascii="Cambria" w:hAnsi="Cambria"/>
                <w:b/>
                <w:bCs/>
                <w:color w:val="4F81BD" w:themeColor="accent1"/>
                <w:sz w:val="26"/>
                <w:szCs w:val="26"/>
                <w:lang w:eastAsia="ru-RU"/>
              </w:rPr>
            </w:r>
          </w:p>
        </w:tc>
      </w:tr>
      <w:tr>
        <w:trPr/>
        <w:tc>
          <w:tcPr>
            <w:tcW w:w="158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24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ГБУЗ РМ «Мордовская республиканская психиатрическая больница»</w:t>
            </w:r>
          </w:p>
        </w:tc>
        <w:tc>
          <w:tcPr>
            <w:tcW w:w="68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1589,28</w:t>
            </w:r>
          </w:p>
        </w:tc>
        <w:tc>
          <w:tcPr>
            <w:tcW w:w="96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1589,28</w:t>
            </w:r>
          </w:p>
        </w:tc>
        <w:tc>
          <w:tcPr>
            <w:tcW w:w="733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1669,23</w:t>
            </w:r>
          </w:p>
        </w:tc>
        <w:tc>
          <w:tcPr>
            <w:tcW w:w="92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1669,23</w:t>
            </w:r>
          </w:p>
        </w:tc>
        <w:tc>
          <w:tcPr>
            <w:tcW w:w="1060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105,03</w:t>
            </w:r>
          </w:p>
        </w:tc>
        <w:tc>
          <w:tcPr>
            <w:tcW w:w="714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107,09</w:t>
            </w:r>
          </w:p>
        </w:tc>
        <w:tc>
          <w:tcPr>
            <w:tcW w:w="940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107,09</w:t>
            </w:r>
          </w:p>
        </w:tc>
        <w:tc>
          <w:tcPr>
            <w:tcW w:w="761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112,57</w:t>
            </w:r>
          </w:p>
        </w:tc>
        <w:tc>
          <w:tcPr>
            <w:tcW w:w="894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112,57</w:t>
            </w:r>
          </w:p>
        </w:tc>
        <w:tc>
          <w:tcPr>
            <w:tcW w:w="10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105,12</w:t>
            </w:r>
          </w:p>
        </w:tc>
      </w:tr>
      <w:tr>
        <w:trPr/>
        <w:tc>
          <w:tcPr>
            <w:tcW w:w="158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24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ООО «Мордовкоммунэнерго»</w:t>
            </w:r>
          </w:p>
        </w:tc>
        <w:tc>
          <w:tcPr>
            <w:tcW w:w="68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2010,84</w:t>
            </w:r>
          </w:p>
        </w:tc>
        <w:tc>
          <w:tcPr>
            <w:tcW w:w="967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2010,84</w:t>
            </w:r>
          </w:p>
        </w:tc>
        <w:tc>
          <w:tcPr>
            <w:tcW w:w="733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2300,4</w:t>
            </w:r>
          </w:p>
        </w:tc>
        <w:tc>
          <w:tcPr>
            <w:tcW w:w="922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2151,86</w:t>
            </w:r>
          </w:p>
        </w:tc>
        <w:tc>
          <w:tcPr>
            <w:tcW w:w="1060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107,01</w:t>
            </w:r>
          </w:p>
        </w:tc>
        <w:tc>
          <w:tcPr>
            <w:tcW w:w="714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141,73</w:t>
            </w:r>
          </w:p>
        </w:tc>
        <w:tc>
          <w:tcPr>
            <w:tcW w:w="940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141,73</w:t>
            </w:r>
          </w:p>
        </w:tc>
        <w:tc>
          <w:tcPr>
            <w:tcW w:w="761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151,55</w:t>
            </w:r>
          </w:p>
        </w:tc>
        <w:tc>
          <w:tcPr>
            <w:tcW w:w="894" w:type="dxa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151,55</w:t>
            </w:r>
          </w:p>
        </w:tc>
        <w:tc>
          <w:tcPr>
            <w:tcW w:w="1052" w:type="dxa"/>
            <w:gridSpan w:val="2"/>
            <w:tcBorders/>
            <w:shd w:fill="auto" w:val="clear"/>
          </w:tcPr>
          <w:p>
            <w:pPr>
              <w:pStyle w:val="Normal"/>
              <w:tabs>
                <w:tab w:val="left" w:pos="2354" w:leader="none"/>
              </w:tabs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" w:cs="" w:ascii="Times New Roman" w:hAnsi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106,93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val="en-US"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val="en-US" w:eastAsia="ru-RU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Таблица 16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Тарифы и плата за коммунальные услуги населению</w:t>
      </w:r>
    </w:p>
    <w:tbl>
      <w:tblPr>
        <w:tblStyle w:val="a5"/>
        <w:tblW w:w="10490" w:type="dxa"/>
        <w:jc w:val="left"/>
        <w:tblInd w:w="-475" w:type="dxa"/>
        <w:tblCellMar>
          <w:top w:w="0" w:type="dxa"/>
          <w:left w:w="9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2"/>
        <w:gridCol w:w="6237"/>
      </w:tblGrid>
      <w:tr>
        <w:trPr/>
        <w:tc>
          <w:tcPr>
            <w:tcW w:w="425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6237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Сбор и утилизация ТБО (руб./месяц)</w:t>
            </w:r>
          </w:p>
        </w:tc>
      </w:tr>
      <w:tr>
        <w:trPr>
          <w:trHeight w:val="615" w:hRule="atLeast"/>
        </w:trPr>
        <w:tc>
          <w:tcPr>
            <w:tcW w:w="4252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Солдатское сельское поселение</w:t>
            </w:r>
          </w:p>
        </w:tc>
        <w:tc>
          <w:tcPr>
            <w:tcW w:w="6237" w:type="dxa"/>
            <w:tcBorders/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360" w:before="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bCs/>
                <w:sz w:val="24"/>
                <w:szCs w:val="24"/>
                <w:lang w:val="en-US"/>
              </w:rPr>
              <w:t>2</w:t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Тариф на сбор и утилизацию посчитан из расчета: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Мусоровоз в аренду – 3 000 р.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Заработная плата водителя и уборщика – 13 000 р.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Материалы – 1 000 р.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Прочее – 1000 р.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Итого: 18 000р.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 учетом таблиц приведенных выше, можно отметить повышение тарифа и как следствие расходов населения на коммунальные услуги. Дальнейшее прогнозирование расходов зависит от инфляции, прогноз которой приведен ниже.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  <w:t>Прогноз индексов-дефляторов и инфляции до 2030 г. (в %)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</w:r>
    </w:p>
    <w:tbl>
      <w:tblPr>
        <w:tblW w:w="11370" w:type="dxa"/>
        <w:jc w:val="left"/>
        <w:tblInd w:w="-132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72"/>
        <w:gridCol w:w="567"/>
        <w:gridCol w:w="710"/>
        <w:gridCol w:w="706"/>
        <w:gridCol w:w="2"/>
        <w:gridCol w:w="709"/>
        <w:gridCol w:w="710"/>
        <w:gridCol w:w="709"/>
        <w:gridCol w:w="710"/>
        <w:gridCol w:w="955"/>
        <w:gridCol w:w="711"/>
        <w:gridCol w:w="709"/>
        <w:gridCol w:w="706"/>
        <w:gridCol w:w="6"/>
        <w:gridCol w:w="730"/>
        <w:gridCol w:w="730"/>
        <w:gridCol w:w="728"/>
      </w:tblGrid>
      <w:tr>
        <w:trPr>
          <w:trHeight w:val="600" w:hRule="atLeast"/>
        </w:trPr>
        <w:tc>
          <w:tcPr>
            <w:tcW w:w="127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отчет - по сопоставимому кругу предприятий</w:t>
            </w:r>
          </w:p>
        </w:tc>
        <w:tc>
          <w:tcPr>
            <w:tcW w:w="592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 среднем за год к предыдущему году</w:t>
            </w:r>
          </w:p>
        </w:tc>
        <w:tc>
          <w:tcPr>
            <w:tcW w:w="21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 среднем за год</w:t>
            </w:r>
          </w:p>
        </w:tc>
      </w:tr>
      <w:tr>
        <w:trPr>
          <w:trHeight w:val="450" w:hRule="atLeast"/>
        </w:trPr>
        <w:tc>
          <w:tcPr>
            <w:tcW w:w="127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8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0"/>
                <w:lang w:eastAsia="ru-RU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2012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2013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7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2021-2025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2026-2030</w:t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2016-2030</w:t>
            </w:r>
          </w:p>
        </w:tc>
      </w:tr>
      <w:tr>
        <w:trPr>
          <w:trHeight w:val="450" w:hRule="atLeast"/>
        </w:trPr>
        <w:tc>
          <w:tcPr>
            <w:tcW w:w="127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Платные услуги населению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106,5</w:t>
            </w:r>
          </w:p>
        </w:tc>
        <w:tc>
          <w:tcPr>
            <w:tcW w:w="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106,0</w:t>
            </w: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105,5</w:t>
            </w:r>
          </w:p>
        </w:tc>
        <w:tc>
          <w:tcPr>
            <w:tcW w:w="7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105,4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104,7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103,5</w:t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104,7</w:t>
            </w:r>
          </w:p>
        </w:tc>
      </w:tr>
      <w:tr>
        <w:trPr>
          <w:trHeight w:val="450" w:hRule="atLeast"/>
        </w:trPr>
        <w:tc>
          <w:tcPr>
            <w:tcW w:w="127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108,6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108,0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107,8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106,4</w:t>
            </w:r>
          </w:p>
        </w:tc>
        <w:tc>
          <w:tcPr>
            <w:tcW w:w="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106,2</w:t>
            </w: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105,7</w:t>
            </w:r>
          </w:p>
        </w:tc>
        <w:tc>
          <w:tcPr>
            <w:tcW w:w="7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104,7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103,9</w:t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104,8</w:t>
            </w:r>
          </w:p>
        </w:tc>
      </w:tr>
      <w:tr>
        <w:trPr>
          <w:trHeight w:val="450" w:hRule="atLeast"/>
        </w:trPr>
        <w:tc>
          <w:tcPr>
            <w:tcW w:w="127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106,7</w:t>
            </w: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106,7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106,1</w:t>
            </w:r>
          </w:p>
        </w:tc>
        <w:tc>
          <w:tcPr>
            <w:tcW w:w="7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105,7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105,4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104,8</w:t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105,6</w:t>
            </w:r>
          </w:p>
        </w:tc>
      </w:tr>
      <w:tr>
        <w:trPr>
          <w:trHeight w:val="450" w:hRule="atLeast"/>
        </w:trPr>
        <w:tc>
          <w:tcPr>
            <w:tcW w:w="127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Инфляция (ИПЦ) среднегодовая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104,9</w:t>
            </w:r>
          </w:p>
        </w:tc>
        <w:tc>
          <w:tcPr>
            <w:tcW w:w="7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104,3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103,9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102,7</w:t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103,8</w:t>
            </w:r>
          </w:p>
        </w:tc>
      </w:tr>
      <w:tr>
        <w:trPr>
          <w:trHeight w:val="450" w:hRule="atLeast"/>
        </w:trPr>
        <w:tc>
          <w:tcPr>
            <w:tcW w:w="127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108,4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107,1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105,4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104,9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105,4</w:t>
            </w:r>
          </w:p>
        </w:tc>
        <w:tc>
          <w:tcPr>
            <w:tcW w:w="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105,3</w:t>
            </w: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105,1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104,7</w:t>
            </w:r>
          </w:p>
        </w:tc>
        <w:tc>
          <w:tcPr>
            <w:tcW w:w="7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104,3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103,7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102,6</w:t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103,7</w:t>
            </w:r>
          </w:p>
        </w:tc>
      </w:tr>
      <w:tr>
        <w:trPr>
          <w:trHeight w:val="450" w:hRule="atLeast"/>
        </w:trPr>
        <w:tc>
          <w:tcPr>
            <w:tcW w:w="127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104,9</w:t>
            </w:r>
          </w:p>
        </w:tc>
        <w:tc>
          <w:tcPr>
            <w:tcW w:w="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104,8</w:t>
            </w: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104,3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104,1</w:t>
            </w:r>
          </w:p>
        </w:tc>
        <w:tc>
          <w:tcPr>
            <w:tcW w:w="7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103,7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103,5</w:t>
            </w:r>
          </w:p>
        </w:tc>
        <w:tc>
          <w:tcPr>
            <w:tcW w:w="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103,0</w:t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overflowPunct w:val="false"/>
              <w:spacing w:lineRule="auto" w:line="36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103,6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color w:val="000000"/>
          <w:sz w:val="30"/>
          <w:szCs w:val="3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0"/>
          <w:szCs w:val="30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  <w:r>
        <w:br w:type="page"/>
      </w:r>
    </w:p>
    <w:p>
      <w:pPr>
        <w:pStyle w:val="Normal"/>
        <w:tabs>
          <w:tab w:val="left" w:pos="2354" w:leader="none"/>
        </w:tabs>
        <w:spacing w:before="0" w:after="200"/>
        <w:ind w:firstLine="709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12. Модель для расчета программы</w:t>
      </w:r>
    </w:p>
    <w:p>
      <w:pPr>
        <w:pStyle w:val="Normal"/>
        <w:tabs>
          <w:tab w:val="left" w:pos="2354" w:leader="none"/>
        </w:tabs>
        <w:spacing w:lineRule="auto" w:line="259" w:before="0" w:after="160"/>
        <w:ind w:left="786" w:hanging="0"/>
        <w:contextualSpacing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</w:r>
    </w:p>
    <w:p>
      <w:pPr>
        <w:pStyle w:val="Normal"/>
        <w:tabs>
          <w:tab w:val="left" w:pos="2354" w:leader="none"/>
        </w:tabs>
        <w:spacing w:lineRule="auto" w:line="360" w:before="0" w:after="160"/>
        <w:ind w:firstLine="786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Моделью расчетов по Программе были предусмотрены расчеты сроков выполнения мероприятий программы, уровня необходимого финансирования, распределение затрат и возникающих экономических эффектов по годам. Для обеспечения сопоставимости вариантов все цены были приняты на уровне 2016 года.</w:t>
      </w:r>
    </w:p>
    <w:p>
      <w:pPr>
        <w:pStyle w:val="Normal"/>
        <w:tabs>
          <w:tab w:val="left" w:pos="2354" w:leader="none"/>
        </w:tabs>
        <w:spacing w:lineRule="auto" w:line="360" w:before="0" w:after="160"/>
        <w:ind w:firstLine="786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Эффект от каждого мероприятия был учтен отдельно, при реализации мероприятий в совокупности возможен больший экономический эффект за счет «наложения» эффекта от одного мероприятия на эффект от другого.</w:t>
      </w:r>
    </w:p>
    <w:p>
      <w:pPr>
        <w:pStyle w:val="Normal"/>
        <w:numPr>
          <w:ilvl w:val="0"/>
          <w:numId w:val="0"/>
        </w:numPr>
        <w:spacing w:lineRule="auto" w:line="360"/>
        <w:outlineLvl w:val="2"/>
        <w:rPr>
          <w:rFonts w:ascii="Times New Roman" w:hAnsi="Times New Roman" w:eastAsia="Calibri" w:cs="Times New Roman"/>
          <w:bCs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footerReference w:type="default" r:id="rId2"/>
      <w:type w:val="nextPage"/>
      <w:pgSz w:w="11906" w:h="16838"/>
      <w:pgMar w:left="1701" w:right="850" w:header="0" w:top="1134" w:footer="708" w:bottom="1134" w:gutter="0"/>
      <w:pgNumType w:start="2"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61286190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36</w:t>
        </w:r>
        <w:r>
          <w:fldChar w:fldCharType="end"/>
        </w:r>
      </w:p>
    </w:sdtContent>
  </w:sdt>
  <w:p>
    <w:pPr>
      <w:pStyle w:val="Style24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Статья 2-%1."/>
      <w:lvlJc w:val="left"/>
      <w:pPr>
        <w:ind w:left="1134" w:hanging="567"/>
      </w:pPr>
    </w:lvl>
    <w:lvl w:ilvl="1">
      <w:start w:val="1"/>
      <w:numFmt w:val="decimal"/>
      <w:lvlText w:val="Статья 2-%2."/>
      <w:lvlJc w:val="left"/>
      <w:pPr>
        <w:ind w:left="1134" w:hanging="567"/>
      </w:pPr>
    </w:lvl>
    <w:lvl w:ilvl="2">
      <w:start w:val="1"/>
      <w:numFmt w:val="decimal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"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  <w:sz w:val="28"/>
        <w:rFonts w:cs="Symbol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  <w:sz w:val="28"/>
        <w:rFonts w:cs="Symbol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decimal"/>
      <w:lvlText w:val="%1"/>
      <w:lvlJc w:val="left"/>
      <w:pPr>
        <w:ind w:left="375" w:hanging="375"/>
      </w:pPr>
    </w:lvl>
    <w:lvl w:ilvl="1">
      <w:start w:val="3"/>
      <w:numFmt w:val="decimal"/>
      <w:lvlText w:val="%1.%2"/>
      <w:lvlJc w:val="left"/>
      <w:pPr>
        <w:ind w:left="1020" w:hanging="375"/>
      </w:pPr>
    </w:lvl>
    <w:lvl w:ilvl="2">
      <w:start w:val="1"/>
      <w:numFmt w:val="decimal"/>
      <w:lvlText w:val="%1.%2.%3"/>
      <w:lvlJc w:val="left"/>
      <w:pPr>
        <w:ind w:left="2010" w:hanging="720"/>
      </w:pPr>
    </w:lvl>
    <w:lvl w:ilvl="3">
      <w:start w:val="1"/>
      <w:numFmt w:val="decimal"/>
      <w:lvlText w:val="%1.%2.%3.%4"/>
      <w:lvlJc w:val="left"/>
      <w:pPr>
        <w:ind w:left="3015" w:hanging="1080"/>
      </w:pPr>
    </w:lvl>
    <w:lvl w:ilvl="4">
      <w:start w:val="1"/>
      <w:numFmt w:val="decimal"/>
      <w:lvlText w:val="%1.%2.%3.%4.%5"/>
      <w:lvlJc w:val="left"/>
      <w:pPr>
        <w:ind w:left="3660" w:hanging="1080"/>
      </w:pPr>
    </w:lvl>
    <w:lvl w:ilvl="5">
      <w:start w:val="1"/>
      <w:numFmt w:val="decimal"/>
      <w:lvlText w:val="%1.%2.%3.%4.%5.%6"/>
      <w:lvlJc w:val="left"/>
      <w:pPr>
        <w:ind w:left="4665" w:hanging="1440"/>
      </w:pPr>
    </w:lvl>
    <w:lvl w:ilvl="6">
      <w:start w:val="1"/>
      <w:numFmt w:val="decimal"/>
      <w:lvlText w:val="%1.%2.%3.%4.%5.%6.%7"/>
      <w:lvlJc w:val="left"/>
      <w:pPr>
        <w:ind w:left="5310" w:hanging="1440"/>
      </w:pPr>
    </w:lvl>
    <w:lvl w:ilvl="7">
      <w:start w:val="1"/>
      <w:numFmt w:val="decimal"/>
      <w:lvlText w:val="%1.%2.%3.%4.%5.%6.%7.%8"/>
      <w:lvlJc w:val="left"/>
      <w:pPr>
        <w:ind w:left="6315" w:hanging="1800"/>
      </w:pPr>
    </w:lvl>
    <w:lvl w:ilvl="8">
      <w:start w:val="1"/>
      <w:numFmt w:val="decimal"/>
      <w:lvlText w:val="%1.%2.%3.%4.%5.%6.%7.%8.%9"/>
      <w:lvlJc w:val="left"/>
      <w:pPr>
        <w:ind w:left="7320" w:hanging="21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a36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0969be"/>
    <w:pPr>
      <w:keepNext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Заголовок 2"/>
    <w:basedOn w:val="Normal"/>
    <w:link w:val="20"/>
    <w:uiPriority w:val="9"/>
    <w:semiHidden/>
    <w:unhideWhenUsed/>
    <w:qFormat/>
    <w:rsid w:val="0019442b"/>
    <w:pPr>
      <w:keepNext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Заголовок 3"/>
    <w:basedOn w:val="Normal"/>
    <w:link w:val="30"/>
    <w:uiPriority w:val="9"/>
    <w:semiHidden/>
    <w:unhideWhenUsed/>
    <w:qFormat/>
    <w:rsid w:val="0019442b"/>
    <w:pPr>
      <w:keepNext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3" w:customStyle="1">
    <w:name w:val="S_Заголовок 3 Знак"/>
    <w:basedOn w:val="DefaultParagraphFont"/>
    <w:link w:val="S3"/>
    <w:qFormat/>
    <w:locked/>
    <w:rsid w:val="0019442b"/>
    <w:rPr>
      <w:sz w:val="24"/>
      <w:szCs w:val="24"/>
      <w:u w:val="single"/>
    </w:rPr>
  </w:style>
  <w:style w:type="character" w:styleId="S" w:customStyle="1">
    <w:name w:val="S_Обычный Знак"/>
    <w:basedOn w:val="DefaultParagraphFont"/>
    <w:link w:val="S0"/>
    <w:qFormat/>
    <w:locked/>
    <w:rsid w:val="0019442b"/>
    <w:rPr>
      <w:sz w:val="24"/>
      <w:szCs w:val="24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19442b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19442b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Style11" w:customStyle="1">
    <w:name w:val="Верхний колонтитул Знак"/>
    <w:basedOn w:val="DefaultParagraphFont"/>
    <w:link w:val="a6"/>
    <w:uiPriority w:val="99"/>
    <w:qFormat/>
    <w:rsid w:val="00da4bae"/>
    <w:rPr/>
  </w:style>
  <w:style w:type="character" w:styleId="Style12" w:customStyle="1">
    <w:name w:val="Нижний колонтитул Знак"/>
    <w:basedOn w:val="DefaultParagraphFont"/>
    <w:link w:val="a8"/>
    <w:uiPriority w:val="99"/>
    <w:qFormat/>
    <w:rsid w:val="00da4bae"/>
    <w:rPr/>
  </w:style>
  <w:style w:type="character" w:styleId="Style13" w:customStyle="1">
    <w:name w:val="Основной текст Знак"/>
    <w:basedOn w:val="DefaultParagraphFont"/>
    <w:link w:val="ab"/>
    <w:qFormat/>
    <w:rsid w:val="005112db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0969be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Style14">
    <w:name w:val="Интернет-ссылка"/>
    <w:basedOn w:val="DefaultParagraphFont"/>
    <w:uiPriority w:val="99"/>
    <w:unhideWhenUsed/>
    <w:rsid w:val="00b1399f"/>
    <w:rPr>
      <w:color w:val="0000FF" w:themeColor="hyperlink"/>
      <w:u w:val="single"/>
    </w:rPr>
  </w:style>
  <w:style w:type="character" w:styleId="Style15" w:customStyle="1">
    <w:name w:val="Текст выноски Знак"/>
    <w:basedOn w:val="DefaultParagraphFont"/>
    <w:link w:val="af"/>
    <w:uiPriority w:val="99"/>
    <w:semiHidden/>
    <w:qFormat/>
    <w:rsid w:val="00b1399f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Times New Roman"/>
      <w:sz w:val="28"/>
      <w:szCs w:val="28"/>
    </w:rPr>
  </w:style>
  <w:style w:type="character" w:styleId="ListLabel2">
    <w:name w:val="ListLabel 2"/>
    <w:qFormat/>
    <w:rPr>
      <w:b/>
    </w:rPr>
  </w:style>
  <w:style w:type="character" w:styleId="ListLabel3">
    <w:name w:val="ListLabel 3"/>
    <w:qFormat/>
    <w:rPr>
      <w:b/>
      <w:i w:val="false"/>
    </w:rPr>
  </w:style>
  <w:style w:type="character" w:styleId="ListLabel4">
    <w:name w:val="ListLabel 4"/>
    <w:qFormat/>
    <w:rPr>
      <w:rFonts w:cs="Courier New"/>
    </w:rPr>
  </w:style>
  <w:style w:type="character" w:styleId="Style16">
    <w:name w:val="Ссылка указателя"/>
    <w:qFormat/>
    <w:rPr/>
  </w:style>
  <w:style w:type="character" w:styleId="ListLabel5">
    <w:name w:val="ListLabel 5"/>
    <w:qFormat/>
    <w:rPr>
      <w:rFonts w:ascii="Times New Roman" w:hAnsi="Times New Roman" w:cs="Symbol"/>
      <w:sz w:val="28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Wingdings"/>
    </w:rPr>
  </w:style>
  <w:style w:type="character" w:styleId="ListLabel8">
    <w:name w:val="ListLabel 8"/>
    <w:qFormat/>
    <w:rPr>
      <w:rFonts w:ascii="Times New Roman" w:hAnsi="Times New Roman" w:cs="Symbol"/>
      <w:sz w:val="28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Wingdings"/>
    </w:rPr>
  </w:style>
  <w:style w:type="character" w:styleId="ListLabel11">
    <w:name w:val="ListLabel 11"/>
    <w:qFormat/>
    <w:rPr>
      <w:rFonts w:ascii="Times New Roman" w:hAnsi="Times New Roman" w:cs="Symbol"/>
      <w:sz w:val="28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Wingdings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Основной текст"/>
    <w:basedOn w:val="Normal"/>
    <w:link w:val="ac"/>
    <w:rsid w:val="005112db"/>
    <w:pPr>
      <w:overflowPunct w:val="false"/>
      <w:spacing w:lineRule="auto" w:line="240" w:before="0" w:after="0"/>
      <w:jc w:val="center"/>
      <w:textAlignment w:val="baseline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Style19">
    <w:name w:val="Список"/>
    <w:basedOn w:val="Style18"/>
    <w:pPr/>
    <w:rPr>
      <w:rFonts w:cs="Mangal"/>
    </w:rPr>
  </w:style>
  <w:style w:type="paragraph" w:styleId="Style20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57776c"/>
    <w:pPr>
      <w:spacing w:before="0" w:after="200"/>
      <w:ind w:left="720" w:hanging="0"/>
      <w:contextualSpacing/>
    </w:pPr>
    <w:rPr/>
  </w:style>
  <w:style w:type="paragraph" w:styleId="12" w:customStyle="1">
    <w:name w:val="Обычный 1"/>
    <w:basedOn w:val="Normal"/>
    <w:qFormat/>
    <w:rsid w:val="00604080"/>
    <w:pPr>
      <w:spacing w:lineRule="auto" w:line="240" w:before="0" w:after="0"/>
      <w:ind w:firstLine="720"/>
      <w:jc w:val="both"/>
    </w:pPr>
    <w:rPr>
      <w:rFonts w:ascii="Arial" w:hAnsi="Arial" w:eastAsia="Times New Roman" w:cs="Times New Roman"/>
      <w:sz w:val="24"/>
      <w:szCs w:val="20"/>
      <w:lang w:eastAsia="ru-RU"/>
    </w:rPr>
  </w:style>
  <w:style w:type="paragraph" w:styleId="S1" w:customStyle="1">
    <w:name w:val="S_Заголовок 1"/>
    <w:basedOn w:val="Normal"/>
    <w:qFormat/>
    <w:rsid w:val="0019442b"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caps/>
      <w:sz w:val="24"/>
      <w:szCs w:val="24"/>
      <w:lang w:eastAsia="ru-RU"/>
    </w:rPr>
  </w:style>
  <w:style w:type="paragraph" w:styleId="S2" w:customStyle="1">
    <w:name w:val="S_Заголовок 2"/>
    <w:basedOn w:val="2"/>
    <w:qFormat/>
    <w:rsid w:val="0019442b"/>
    <w:pPr>
      <w:keepNext/>
      <w:keepLines w:val="false"/>
      <w:tabs>
        <w:tab w:val="left" w:pos="360" w:leader="none"/>
        <w:tab w:val="left" w:pos="1134" w:leader="none"/>
      </w:tabs>
      <w:spacing w:lineRule="auto" w:line="360" w:before="0" w:after="0"/>
      <w:ind w:left="0" w:firstLine="709"/>
      <w:jc w:val="both"/>
    </w:pPr>
    <w:rPr>
      <w:rFonts w:ascii="Times New Roman" w:hAnsi="Times New Roman" w:eastAsia="Times New Roman" w:cs="Times New Roman"/>
      <w:bCs w:val="false"/>
      <w:color w:val="00000A"/>
      <w:sz w:val="24"/>
      <w:szCs w:val="24"/>
      <w:lang w:eastAsia="ru-RU"/>
    </w:rPr>
  </w:style>
  <w:style w:type="paragraph" w:styleId="S31" w:customStyle="1">
    <w:name w:val="S_Заголовок 3"/>
    <w:basedOn w:val="3"/>
    <w:link w:val="S30"/>
    <w:qFormat/>
    <w:rsid w:val="0019442b"/>
    <w:pPr>
      <w:keepNext/>
      <w:keepLines w:val="false"/>
      <w:tabs>
        <w:tab w:val="left" w:pos="1418" w:leader="none"/>
      </w:tabs>
      <w:spacing w:lineRule="auto" w:line="360" w:before="0" w:after="0"/>
      <w:ind w:left="0" w:firstLine="709"/>
    </w:pPr>
    <w:rPr>
      <w:rFonts w:ascii="Calibri" w:hAnsi="Calibri" w:eastAsia="Calibri" w:cs="" w:asciiTheme="minorHAnsi" w:cstheme="minorBidi" w:eastAsiaTheme="minorHAnsi" w:hAnsiTheme="minorHAnsi"/>
      <w:b w:val="false"/>
      <w:bCs w:val="false"/>
      <w:color w:val="00000A"/>
      <w:sz w:val="24"/>
      <w:szCs w:val="24"/>
      <w:u w:val="single"/>
    </w:rPr>
  </w:style>
  <w:style w:type="paragraph" w:styleId="S4" w:customStyle="1">
    <w:name w:val="S_Обычный"/>
    <w:basedOn w:val="Normal"/>
    <w:link w:val="S"/>
    <w:qFormat/>
    <w:rsid w:val="0019442b"/>
    <w:pPr>
      <w:spacing w:lineRule="auto" w:line="360" w:before="0" w:after="0"/>
      <w:ind w:firstLine="709"/>
      <w:jc w:val="both"/>
    </w:pPr>
    <w:rPr>
      <w:sz w:val="24"/>
      <w:szCs w:val="24"/>
    </w:rPr>
  </w:style>
  <w:style w:type="paragraph" w:styleId="Style22" w:customStyle="1">
    <w:name w:val="ВидыДеятельности"/>
    <w:basedOn w:val="Normal"/>
    <w:qFormat/>
    <w:rsid w:val="0019442b"/>
    <w:pPr>
      <w:tabs>
        <w:tab w:val="left" w:pos="851" w:leader="none"/>
      </w:tabs>
      <w:snapToGrid w:val="false"/>
      <w:spacing w:lineRule="auto" w:line="240" w:before="0" w:after="80"/>
      <w:jc w:val="both"/>
    </w:pPr>
    <w:rPr>
      <w:rFonts w:ascii="Arial" w:hAnsi="Arial" w:eastAsia="Times New Roman" w:cs="Times New Roman"/>
      <w:szCs w:val="20"/>
      <w:lang w:eastAsia="ru-RU"/>
    </w:rPr>
  </w:style>
  <w:style w:type="paragraph" w:styleId="Style23">
    <w:name w:val="Верхний колонтитул"/>
    <w:basedOn w:val="Normal"/>
    <w:link w:val="a7"/>
    <w:uiPriority w:val="99"/>
    <w:unhideWhenUsed/>
    <w:rsid w:val="00da4bae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Нижний колонтитул"/>
    <w:basedOn w:val="Normal"/>
    <w:link w:val="a9"/>
    <w:uiPriority w:val="99"/>
    <w:unhideWhenUsed/>
    <w:rsid w:val="00da4bae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cf655a"/>
    <w:pPr>
      <w:widowControl/>
      <w:bidi w:val="0"/>
      <w:spacing w:lineRule="auto" w:line="360" w:before="0" w:after="0"/>
      <w:ind w:firstLine="720"/>
      <w:jc w:val="both"/>
    </w:pPr>
    <w:rPr>
      <w:rFonts w:ascii="Times New Roman" w:hAnsi="Times New Roman" w:eastAsia="" w:cs="" w:eastAsiaTheme="minorEastAsia"/>
      <w:color w:val="00000A"/>
      <w:sz w:val="28"/>
      <w:szCs w:val="22"/>
      <w:lang w:val="ru-RU" w:eastAsia="ru-RU" w:bidi="ar-SA"/>
    </w:rPr>
  </w:style>
  <w:style w:type="paragraph" w:styleId="Style25">
    <w:name w:val="Заголовок оглавления"/>
    <w:basedOn w:val="1"/>
    <w:uiPriority w:val="39"/>
    <w:semiHidden/>
    <w:unhideWhenUsed/>
    <w:qFormat/>
    <w:rsid w:val="00b1399f"/>
    <w:pPr/>
    <w:rPr/>
  </w:style>
  <w:style w:type="paragraph" w:styleId="13">
    <w:name w:val="Оглавление 1"/>
    <w:basedOn w:val="Normal"/>
    <w:autoRedefine/>
    <w:uiPriority w:val="39"/>
    <w:unhideWhenUsed/>
    <w:rsid w:val="00b1399f"/>
    <w:pPr>
      <w:spacing w:before="0" w:after="100"/>
    </w:pPr>
    <w:rPr/>
  </w:style>
  <w:style w:type="paragraph" w:styleId="22">
    <w:name w:val="Оглавление 2"/>
    <w:basedOn w:val="Normal"/>
    <w:autoRedefine/>
    <w:uiPriority w:val="39"/>
    <w:unhideWhenUsed/>
    <w:rsid w:val="00b1399f"/>
    <w:pPr>
      <w:spacing w:before="0" w:after="100"/>
      <w:ind w:left="220" w:hanging="0"/>
    </w:pPr>
    <w:rPr/>
  </w:style>
  <w:style w:type="paragraph" w:styleId="32">
    <w:name w:val="Оглавление 3"/>
    <w:basedOn w:val="Normal"/>
    <w:autoRedefine/>
    <w:uiPriority w:val="39"/>
    <w:unhideWhenUsed/>
    <w:rsid w:val="00b1399f"/>
    <w:pPr>
      <w:spacing w:before="0" w:after="100"/>
      <w:ind w:left="440" w:hanging="0"/>
    </w:pPr>
    <w:rPr/>
  </w:style>
  <w:style w:type="paragraph" w:styleId="BalloonText">
    <w:name w:val="Balloon Text"/>
    <w:basedOn w:val="Normal"/>
    <w:link w:val="af0"/>
    <w:uiPriority w:val="99"/>
    <w:semiHidden/>
    <w:unhideWhenUsed/>
    <w:qFormat/>
    <w:rsid w:val="00b1399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6">
    <w:name w:val="Блочная цитата"/>
    <w:basedOn w:val="Normal"/>
    <w:qFormat/>
    <w:pPr/>
    <w:rPr/>
  </w:style>
  <w:style w:type="paragraph" w:styleId="Style27">
    <w:name w:val="Заглавие"/>
    <w:basedOn w:val="Style17"/>
    <w:pPr/>
    <w:rPr/>
  </w:style>
  <w:style w:type="paragraph" w:styleId="Style28">
    <w:name w:val="Подзаголовок"/>
    <w:basedOn w:val="Style17"/>
    <w:pPr/>
    <w:rPr/>
  </w:style>
  <w:style w:type="numbering" w:styleId="NoList" w:default="1">
    <w:name w:val="No List"/>
    <w:uiPriority w:val="99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2"/>
    <w:uiPriority w:val="59"/>
    <w:rsid w:val="000a2fa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5">
    <w:name w:val="Table Grid"/>
    <w:basedOn w:val="a2"/>
    <w:uiPriority w:val="59"/>
    <w:rsid w:val="000a2fa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">
    <w:name w:val="Сетка таблицы2"/>
    <w:basedOn w:val="a2"/>
    <w:uiPriority w:val="59"/>
    <w:rsid w:val="00e162d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ACDFBB5C-413A-4C98-A67E-73B34A27C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LibreOffice/5.0.2.2$Windows_X86_64 LibreOffice_project/37b43f919e4de5eeaca9b9755ed688758a8251fe</Application>
  <Paragraphs>944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2016-12-28T06:31:00Z</dcterms:created>
  <dc:creator>Гость</dc:creator>
  <dc:language>ru-RU</dc:language>
  <dcterms:modified xsi:type="dcterms:W3CDTF">2017-01-12T11:50:49Z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