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spacing w:line="360" w:lineRule="auto"/>
        <w:jc w:val="center"/>
        <w:rPr>
          <w:rFonts w:ascii="Times New Roman" w:cs="Times New Roman" w:hAnsi="Times New Roman"/>
          <w:caps/>
          <w:sz w:val="28"/>
          <w:szCs w:val="28"/>
        </w:rPr>
      </w:pPr>
      <w:r>
        <w:rPr>
          <w:rFonts w:ascii="Times New Roman" w:cs="Times New Roman" w:hAnsi="Times New Roman"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14:paraId="000000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14:paraId="00000003">
      <w:pPr>
        <w:jc w:val="center"/>
        <w:rPr>
          <w:b/>
          <w:sz w:val="28"/>
          <w:szCs w:val="28"/>
        </w:rPr>
      </w:pPr>
    </w:p>
    <w:p w14:paraId="00000004">
      <w:pPr>
        <w:jc w:val="center"/>
        <w:rPr>
          <w:sz w:val="28"/>
          <w:szCs w:val="28"/>
        </w:rPr>
      </w:pPr>
      <w:r>
        <w:rPr>
          <w:sz w:val="28"/>
          <w:szCs w:val="28"/>
        </w:rPr>
        <w:t>«14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>
        <w:rPr>
          <w:sz w:val="28"/>
          <w:szCs w:val="28"/>
        </w:rPr>
        <w:t xml:space="preserve">4 г.                                     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89</w:t>
      </w:r>
    </w:p>
    <w:p w14:paraId="00000005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r>
        <w:rPr>
          <w:sz w:val="22"/>
          <w:szCs w:val="22"/>
        </w:rPr>
        <w:t>.Б</w:t>
      </w:r>
      <w:r>
        <w:rPr>
          <w:sz w:val="22"/>
          <w:szCs w:val="22"/>
        </w:rPr>
        <w:t>ерсеневка</w:t>
      </w:r>
    </w:p>
    <w:p w14:paraId="00000006">
      <w:pPr>
        <w:jc w:val="center"/>
        <w:rPr>
          <w:sz w:val="22"/>
          <w:szCs w:val="22"/>
        </w:rPr>
      </w:pPr>
    </w:p>
    <w:p w14:paraId="00000007">
      <w:pPr>
        <w:jc w:val="center"/>
        <w:rPr>
          <w:sz w:val="22"/>
          <w:szCs w:val="22"/>
        </w:rPr>
      </w:pPr>
    </w:p>
    <w:p w14:paraId="000000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приватизации</w:t>
      </w:r>
    </w:p>
    <w:p w14:paraId="000000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имущества Берсеневского</w:t>
      </w:r>
    </w:p>
    <w:p w14:paraId="0000000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</w:t>
      </w:r>
      <w:r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 xml:space="preserve"> г. </w:t>
      </w:r>
    </w:p>
    <w:p w14:paraId="0000000B">
      <w:pPr>
        <w:jc w:val="both"/>
        <w:rPr>
          <w:b/>
          <w:sz w:val="28"/>
          <w:szCs w:val="28"/>
        </w:rPr>
      </w:pPr>
    </w:p>
    <w:p w14:paraId="0000000C">
      <w:pPr>
        <w:jc w:val="both"/>
        <w:rPr>
          <w:b/>
          <w:sz w:val="28"/>
          <w:szCs w:val="28"/>
        </w:rPr>
      </w:pPr>
    </w:p>
    <w:p w14:paraId="0000000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В целях пополнения доходной части бюджета Берсеневского сельского поселения Лямбирского муниципального района и в соответствии с Федеральным законом от 21.12.2001 г. № 178-ФЗ «О приватизации государственного и муниципального имущества (с изменениями)», ст.20 Устава Берсеневского сельского поселения, Совет депутатов</w:t>
      </w:r>
    </w:p>
    <w:p w14:paraId="0000000E">
      <w:pPr>
        <w:jc w:val="both"/>
        <w:rPr>
          <w:sz w:val="28"/>
          <w:szCs w:val="28"/>
        </w:rPr>
      </w:pPr>
    </w:p>
    <w:p w14:paraId="000000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14:paraId="00000010">
      <w:pPr>
        <w:jc w:val="both"/>
        <w:rPr>
          <w:b/>
          <w:sz w:val="28"/>
          <w:szCs w:val="28"/>
        </w:rPr>
      </w:pPr>
    </w:p>
    <w:p w14:paraId="000000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Утвердить прилагаемый План приватизации муниципального имущества Берсеневского сельского поселения на 20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 год.</w:t>
      </w:r>
    </w:p>
    <w:p w14:paraId="000000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14:paraId="00000013">
      <w:pPr>
        <w:jc w:val="both"/>
        <w:rPr>
          <w:sz w:val="28"/>
          <w:szCs w:val="28"/>
        </w:rPr>
      </w:pPr>
    </w:p>
    <w:p w14:paraId="00000014">
      <w:pPr>
        <w:jc w:val="both"/>
        <w:rPr>
          <w:sz w:val="28"/>
          <w:szCs w:val="28"/>
        </w:rPr>
      </w:pPr>
    </w:p>
    <w:p w14:paraId="00000015">
      <w:pPr>
        <w:jc w:val="both"/>
        <w:rPr>
          <w:sz w:val="28"/>
          <w:szCs w:val="28"/>
        </w:rPr>
      </w:pPr>
    </w:p>
    <w:p w14:paraId="0000001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14:paraId="000000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</w:t>
      </w:r>
      <w:r>
        <w:rPr>
          <w:sz w:val="28"/>
          <w:szCs w:val="28"/>
        </w:rPr>
        <w:t xml:space="preserve">                  Н.Н. Елисеева</w:t>
      </w:r>
    </w:p>
    <w:p w14:paraId="00000018">
      <w:pPr>
        <w:rPr>
          <w:sz w:val="28"/>
          <w:szCs w:val="28"/>
        </w:rPr>
      </w:pPr>
    </w:p>
    <w:p w14:paraId="00000019">
      <w:pPr>
        <w:rPr>
          <w:sz w:val="28"/>
          <w:szCs w:val="28"/>
        </w:rPr>
      </w:pPr>
    </w:p>
    <w:p w14:paraId="0000001A">
      <w:pPr>
        <w:rPr>
          <w:sz w:val="28"/>
          <w:szCs w:val="28"/>
        </w:rPr>
      </w:pPr>
    </w:p>
    <w:p w14:paraId="0000001B">
      <w:pPr>
        <w:rPr>
          <w:sz w:val="28"/>
          <w:szCs w:val="28"/>
        </w:rPr>
      </w:pPr>
    </w:p>
    <w:p w14:paraId="0000001C">
      <w:pPr>
        <w:rPr>
          <w:sz w:val="28"/>
          <w:szCs w:val="28"/>
        </w:rPr>
      </w:pPr>
    </w:p>
    <w:p w14:paraId="0000001D">
      <w:pPr>
        <w:rPr>
          <w:sz w:val="28"/>
          <w:szCs w:val="28"/>
        </w:rPr>
      </w:pPr>
    </w:p>
    <w:p w14:paraId="0000001E">
      <w:pPr>
        <w:rPr>
          <w:sz w:val="28"/>
          <w:szCs w:val="28"/>
        </w:rPr>
      </w:pPr>
    </w:p>
    <w:p w14:paraId="0000001F">
      <w:pPr>
        <w:rPr>
          <w:sz w:val="28"/>
          <w:szCs w:val="28"/>
        </w:rPr>
      </w:pPr>
    </w:p>
    <w:p w14:paraId="00000020">
      <w:pPr>
        <w:rPr>
          <w:sz w:val="28"/>
          <w:szCs w:val="28"/>
        </w:rPr>
      </w:pPr>
    </w:p>
    <w:p w14:paraId="00000021">
      <w:pPr>
        <w:rPr>
          <w:sz w:val="28"/>
          <w:szCs w:val="28"/>
        </w:rPr>
      </w:pPr>
    </w:p>
    <w:p w14:paraId="00000022">
      <w:pPr>
        <w:rPr>
          <w:sz w:val="28"/>
          <w:szCs w:val="28"/>
        </w:rPr>
      </w:pPr>
    </w:p>
    <w:p w14:paraId="00000023">
      <w:pPr>
        <w:rPr>
          <w:sz w:val="28"/>
          <w:szCs w:val="28"/>
        </w:rPr>
      </w:pPr>
    </w:p>
    <w:p w14:paraId="00000024">
      <w:pPr>
        <w:rPr>
          <w:sz w:val="28"/>
          <w:szCs w:val="28"/>
        </w:rPr>
      </w:pPr>
    </w:p>
    <w:p w14:paraId="00000025">
      <w:pPr>
        <w:rPr>
          <w:sz w:val="28"/>
          <w:szCs w:val="28"/>
        </w:rPr>
      </w:pPr>
    </w:p>
    <w:p w14:paraId="00000026">
      <w:pPr>
        <w:rPr>
          <w:sz w:val="28"/>
          <w:szCs w:val="28"/>
        </w:rPr>
      </w:pPr>
    </w:p>
    <w:p w14:paraId="0000002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14:paraId="00000028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14:paraId="00000029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14:paraId="0000002A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«14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4 г. № </w:t>
      </w:r>
      <w:r>
        <w:rPr>
          <w:sz w:val="28"/>
          <w:szCs w:val="28"/>
        </w:rPr>
        <w:t>89</w:t>
      </w:r>
      <w:bookmarkStart w:id="0" w:name="_GoBack"/>
      <w:bookmarkEnd w:id="0"/>
    </w:p>
    <w:p w14:paraId="0000002B">
      <w:pPr>
        <w:jc w:val="right"/>
        <w:rPr>
          <w:sz w:val="28"/>
          <w:szCs w:val="28"/>
        </w:rPr>
      </w:pPr>
    </w:p>
    <w:p w14:paraId="0000002C">
      <w:pPr>
        <w:jc w:val="right"/>
        <w:rPr>
          <w:sz w:val="28"/>
          <w:szCs w:val="28"/>
        </w:rPr>
      </w:pPr>
    </w:p>
    <w:p w14:paraId="0000002D">
      <w:pPr>
        <w:jc w:val="right"/>
        <w:rPr>
          <w:sz w:val="28"/>
          <w:szCs w:val="28"/>
        </w:rPr>
      </w:pPr>
    </w:p>
    <w:p w14:paraId="0000002E">
      <w:pPr>
        <w:jc w:val="right"/>
        <w:rPr>
          <w:sz w:val="28"/>
          <w:szCs w:val="28"/>
        </w:rPr>
      </w:pPr>
    </w:p>
    <w:p w14:paraId="0000002F">
      <w:pPr>
        <w:jc w:val="right"/>
        <w:rPr>
          <w:sz w:val="28"/>
          <w:szCs w:val="28"/>
        </w:rPr>
      </w:pPr>
    </w:p>
    <w:p w14:paraId="000000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14:paraId="0000003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приватизации муниципального имущества</w:t>
      </w:r>
    </w:p>
    <w:p w14:paraId="0000003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на 2024 г.</w:t>
      </w:r>
    </w:p>
    <w:p w14:paraId="00000033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1E0"/>
      </w:tblPr>
      <w:tblGrid>
        <w:gridCol w:w="811"/>
        <w:gridCol w:w="2939"/>
        <w:gridCol w:w="1293"/>
        <w:gridCol w:w="2458"/>
        <w:gridCol w:w="2070"/>
      </w:tblGrid>
      <w:tr>
        <w:trPr/>
        <w:tc>
          <w:tcPr>
            <w:cnfStyle w:val="101000000000"/>
            <w:tcW w:w="828" w:type="dxa"/>
          </w:tcPr>
          <w:p w14:paraId="00000034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t>п</w:t>
            </w:r>
            <w:r>
              <w:rPr>
                <w:b/>
              </w:rPr>
              <w:t>/п</w:t>
            </w:r>
          </w:p>
        </w:tc>
        <w:tc>
          <w:tcPr>
            <w:cnfStyle w:val="100010000000"/>
            <w:tcW w:w="3000" w:type="dxa"/>
          </w:tcPr>
          <w:p w14:paraId="00000035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объекта</w:t>
            </w:r>
          </w:p>
        </w:tc>
        <w:tc>
          <w:tcPr>
            <w:cnfStyle w:val="100001000000"/>
            <w:tcW w:w="1320" w:type="dxa"/>
          </w:tcPr>
          <w:p w14:paraId="00000036">
            <w:pPr>
              <w:jc w:val="center"/>
              <w:rPr>
                <w:b/>
              </w:rPr>
            </w:pPr>
            <w:r>
              <w:rPr>
                <w:b/>
              </w:rPr>
              <w:t>Площадь</w:t>
            </w:r>
          </w:p>
          <w:p w14:paraId="00000037">
            <w:pPr>
              <w:jc w:val="center"/>
              <w:rPr>
                <w:b/>
              </w:rPr>
            </w:pPr>
            <w:r>
              <w:rPr>
                <w:b/>
              </w:rPr>
              <w:t>объекта</w:t>
            </w:r>
          </w:p>
          <w:p w14:paraId="00000038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>кв.м</w:t>
            </w:r>
            <w:r>
              <w:rPr>
                <w:b/>
              </w:rPr>
              <w:t>.)</w:t>
            </w:r>
          </w:p>
        </w:tc>
        <w:tc>
          <w:tcPr>
            <w:cnfStyle w:val="100010000000"/>
            <w:tcW w:w="2508" w:type="dxa"/>
          </w:tcPr>
          <w:p w14:paraId="00000039">
            <w:pPr>
              <w:jc w:val="center"/>
              <w:rPr>
                <w:b/>
              </w:rPr>
            </w:pPr>
            <w:r>
              <w:rPr>
                <w:b/>
              </w:rPr>
              <w:t xml:space="preserve">Местонахождение </w:t>
            </w:r>
          </w:p>
          <w:p w14:paraId="0000003A">
            <w:pPr>
              <w:jc w:val="center"/>
              <w:rPr>
                <w:b/>
              </w:rPr>
            </w:pPr>
            <w:r>
              <w:rPr>
                <w:b/>
              </w:rPr>
              <w:t>объекта</w:t>
            </w:r>
          </w:p>
        </w:tc>
        <w:tc>
          <w:tcPr>
            <w:cnfStyle w:val="100100000000"/>
            <w:tcW w:w="1915" w:type="dxa"/>
          </w:tcPr>
          <w:p w14:paraId="0000003B">
            <w:pPr>
              <w:jc w:val="center"/>
              <w:rPr>
                <w:b/>
              </w:rPr>
            </w:pPr>
            <w:r>
              <w:rPr>
                <w:b/>
              </w:rPr>
              <w:t>Предполагаемые</w:t>
            </w:r>
          </w:p>
          <w:p w14:paraId="0000003C">
            <w:pPr>
              <w:jc w:val="center"/>
              <w:rPr>
                <w:b/>
              </w:rPr>
            </w:pPr>
            <w:r>
              <w:rPr>
                <w:b/>
              </w:rPr>
              <w:t>сроки приватизации</w:t>
            </w:r>
          </w:p>
        </w:tc>
      </w:tr>
      <w:tr>
        <w:trPr/>
        <w:tc>
          <w:tcPr>
            <w:cnfStyle w:val="001000100000"/>
            <w:tcW w:w="828" w:type="dxa"/>
          </w:tcPr>
          <w:p w14:paraId="0000003D">
            <w:pPr>
              <w:jc w:val="center"/>
              <w:rPr/>
            </w:pPr>
            <w:r>
              <w:t>1</w:t>
            </w:r>
          </w:p>
        </w:tc>
        <w:tc>
          <w:tcPr>
            <w:cnfStyle w:val="000010100000"/>
            <w:tcW w:w="3000" w:type="dxa"/>
          </w:tcPr>
          <w:p w14:paraId="0000003E">
            <w:pPr>
              <w:jc w:val="center"/>
              <w:rPr/>
            </w:pPr>
            <w:r>
              <w:t>Здание  администрации Берсеневского сельского поселения</w:t>
            </w:r>
          </w:p>
        </w:tc>
        <w:tc>
          <w:tcPr>
            <w:cnfStyle w:val="000001100000"/>
            <w:tcW w:w="1320" w:type="dxa"/>
          </w:tcPr>
          <w:p w14:paraId="0000003F">
            <w:pPr>
              <w:jc w:val="center"/>
              <w:rPr/>
            </w:pPr>
            <w:r>
              <w:t>92</w:t>
            </w:r>
          </w:p>
        </w:tc>
        <w:tc>
          <w:tcPr>
            <w:cnfStyle w:val="000010100000"/>
            <w:tcW w:w="2508" w:type="dxa"/>
          </w:tcPr>
          <w:p w14:paraId="00000040">
            <w:pPr>
              <w:jc w:val="center"/>
              <w:rPr/>
            </w:pPr>
            <w:r>
              <w:t xml:space="preserve">Республика Мордовия, Лямбирский район, </w:t>
            </w:r>
            <w:r>
              <w:t>с</w:t>
            </w:r>
            <w:r>
              <w:t>.Б</w:t>
            </w:r>
            <w:r>
              <w:t>ерсеневка</w:t>
            </w:r>
            <w:r>
              <w:t xml:space="preserve">, </w:t>
            </w:r>
            <w:r>
              <w:t>ул.Советская</w:t>
            </w:r>
            <w:r>
              <w:t>, 64а</w:t>
            </w:r>
          </w:p>
        </w:tc>
        <w:tc>
          <w:tcPr>
            <w:cnfStyle w:val="000100100000"/>
            <w:tcW w:w="1915" w:type="dxa"/>
          </w:tcPr>
          <w:p w14:paraId="00000041">
            <w:pPr>
              <w:jc w:val="center"/>
              <w:rPr/>
            </w:pPr>
            <w:r>
              <w:rPr>
                <w:lang w:val="en-US"/>
              </w:rPr>
              <w:t xml:space="preserve">II </w:t>
            </w:r>
            <w:r>
              <w:t>полугодие 2024г.</w:t>
            </w:r>
          </w:p>
        </w:tc>
      </w:tr>
      <w:tr>
        <w:trPr/>
        <w:tc>
          <w:tcPr>
            <w:cnfStyle w:val="011000000000"/>
            <w:tcW w:w="828" w:type="dxa"/>
          </w:tcPr>
          <w:p w14:paraId="00000042">
            <w:pPr>
              <w:jc w:val="center"/>
              <w:rPr/>
            </w:pPr>
            <w:r>
              <w:t>2</w:t>
            </w:r>
          </w:p>
        </w:tc>
        <w:tc>
          <w:tcPr>
            <w:cnfStyle w:val="010010000000"/>
            <w:tcW w:w="3000" w:type="dxa"/>
          </w:tcPr>
          <w:p w14:paraId="00000043">
            <w:pPr>
              <w:jc w:val="center"/>
              <w:rPr/>
            </w:pPr>
            <w:r>
              <w:t xml:space="preserve">Здание </w:t>
            </w:r>
            <w:r>
              <w:t>Тат</w:t>
            </w:r>
            <w:r>
              <w:t>.С</w:t>
            </w:r>
            <w:r>
              <w:t>вербейского</w:t>
            </w:r>
            <w:r>
              <w:t xml:space="preserve"> ДК</w:t>
            </w:r>
          </w:p>
        </w:tc>
        <w:tc>
          <w:tcPr>
            <w:cnfStyle w:val="010001000000"/>
            <w:tcW w:w="1320" w:type="dxa"/>
          </w:tcPr>
          <w:p w14:paraId="00000044">
            <w:pPr>
              <w:jc w:val="center"/>
              <w:rPr/>
            </w:pPr>
            <w:r>
              <w:t>784</w:t>
            </w:r>
          </w:p>
        </w:tc>
        <w:tc>
          <w:tcPr>
            <w:cnfStyle w:val="010010000000"/>
            <w:tcW w:w="2508" w:type="dxa"/>
          </w:tcPr>
          <w:p w14:paraId="00000045">
            <w:pPr>
              <w:jc w:val="center"/>
              <w:rPr/>
            </w:pPr>
            <w:r>
              <w:t xml:space="preserve">Республика Мордовия, Лямбирский район, </w:t>
            </w:r>
            <w:r>
              <w:t>с</w:t>
            </w:r>
            <w:r>
              <w:t>.Т</w:t>
            </w:r>
            <w:r>
              <w:t>атарская</w:t>
            </w:r>
            <w:r>
              <w:t xml:space="preserve"> </w:t>
            </w:r>
            <w:r>
              <w:t>Свербейка</w:t>
            </w:r>
          </w:p>
        </w:tc>
        <w:tc>
          <w:tcPr>
            <w:cnfStyle w:val="010100000000"/>
            <w:tcW w:w="1915" w:type="dxa"/>
          </w:tcPr>
          <w:p w14:paraId="00000046">
            <w:pPr>
              <w:jc w:val="center"/>
              <w:rPr/>
            </w:pPr>
            <w:r>
              <w:rPr>
                <w:lang w:val="en-US"/>
              </w:rPr>
              <w:t>II</w:t>
            </w:r>
            <w:r>
              <w:t xml:space="preserve"> полугодие</w:t>
            </w:r>
          </w:p>
          <w:p w14:paraId="00000047">
            <w:pPr>
              <w:jc w:val="center"/>
              <w:rPr/>
            </w:pPr>
            <w:r>
              <w:t>2024г.</w:t>
            </w:r>
          </w:p>
        </w:tc>
      </w:tr>
    </w:tbl>
    <w:p w14:paraId="00000048">
      <w:pPr>
        <w:jc w:val="center"/>
        <w:rPr>
          <w:sz w:val="28"/>
          <w:szCs w:val="28"/>
        </w:rPr>
      </w:pPr>
    </w:p>
    <w:p w14:paraId="00000049">
      <w:pPr>
        <w:jc w:val="center"/>
        <w:rPr>
          <w:sz w:val="28"/>
          <w:szCs w:val="28"/>
        </w:rPr>
      </w:pPr>
    </w:p>
    <w:p w14:paraId="0000004A">
      <w:pPr>
        <w:rPr>
          <w:sz w:val="28"/>
          <w:szCs w:val="28"/>
        </w:rPr>
      </w:pPr>
    </w:p>
    <w:p w14:paraId="0000004B">
      <w:pPr>
        <w:rPr>
          <w:sz w:val="28"/>
          <w:szCs w:val="28"/>
        </w:rPr>
      </w:pPr>
    </w:p>
    <w:p w14:paraId="0000004C">
      <w:pPr>
        <w:rPr>
          <w:sz w:val="28"/>
          <w:szCs w:val="28"/>
        </w:rPr>
      </w:pPr>
    </w:p>
    <w:p w14:paraId="0000004D">
      <w:pPr>
        <w:rPr>
          <w:sz w:val="28"/>
          <w:szCs w:val="28"/>
        </w:rPr>
      </w:pPr>
    </w:p>
    <w:p w14:paraId="0000004E">
      <w:pPr>
        <w:rPr>
          <w:sz w:val="28"/>
          <w:szCs w:val="28"/>
        </w:rPr>
      </w:pPr>
    </w:p>
    <w:p w14:paraId="0000004F">
      <w:pPr>
        <w:rPr>
          <w:sz w:val="28"/>
          <w:szCs w:val="28"/>
        </w:rPr>
      </w:pPr>
    </w:p>
    <w:p w14:paraId="00000050">
      <w:pPr>
        <w:rPr>
          <w:sz w:val="28"/>
          <w:szCs w:val="28"/>
        </w:rPr>
      </w:pPr>
    </w:p>
    <w:p w14:paraId="00000051">
      <w:pPr>
        <w:rPr>
          <w:sz w:val="28"/>
          <w:szCs w:val="28"/>
        </w:rPr>
      </w:pPr>
    </w:p>
    <w:p w14:paraId="00000052">
      <w:pPr>
        <w:rPr>
          <w:sz w:val="28"/>
          <w:szCs w:val="28"/>
        </w:rPr>
      </w:pPr>
    </w:p>
    <w:p w14:paraId="00000053">
      <w:pPr>
        <w:rPr>
          <w:sz w:val="28"/>
          <w:szCs w:val="28"/>
        </w:rPr>
      </w:pPr>
    </w:p>
    <w:p w14:paraId="00000054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19"/>
    <w:rsid w:val="00202252"/>
    <w:rsid w:val="00A70319"/>
    <w:rsid w:val="00F6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table" w:styleId="TableGrid">
    <w:name w:val="Table Grid"/>
    <w:basedOn w:val="NormalTable"/>
    <w:uiPriority w:val="9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pBdr>
        <w:bottom w:val="single" w:color="4f81bd" w:themeColor="accent1" w:sz="8" w:space="4"/>
      </w:pBdr>
      <w:spacing w:after="300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22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20225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02252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2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