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a="http://schemas.openxmlformats.org/drawingml/2006/main" xmlns:wps="http://schemas.microsoft.com/office/word/2010/wordprocessingShape" xmlns:wpg="http://schemas.microsoft.com/office/word/2010/wordprocessingGroup" xmlns:wp14="http://schemas.microsoft.com/office/word/2010/wordprocessingDrawing" xmlns:w14="http://schemas.microsoft.com/office/word/2010/wordml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pi="http://schemas.microsoft.com/office/word/2010/wordprocessingInk" xmlns:aink="http://schemas.microsoft.com/office/drawing/2016/ink" xmlns:dgm="http://schemas.openxmlformats.org/drawingml/2006/diagram">
  <w:body>
    <w:p w14:paraId="00000001">
      <w:pPr>
        <w:jc w:val="right"/>
        <w:rPr>
          <w:rFonts w:ascii="Times New Roman" w:cs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>ПРОЕКТ</w:t>
      </w:r>
    </w:p>
    <w:p w14:paraId="00000002">
      <w:pPr>
        <w:jc w:val="center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АДМИНИСТРАЦИЯ</w:t>
      </w:r>
    </w:p>
    <w:p w14:paraId="00000003">
      <w:pPr>
        <w:jc w:val="center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БЕРСЕНЕВСКОГО</w:t>
      </w:r>
      <w:r>
        <w:rPr>
          <w:rFonts w:ascii="Times New Roman" w:cs="Times New Roman" w:hAnsi="Times New Roman"/>
          <w:sz w:val="28"/>
          <w:szCs w:val="28"/>
          <w:lang w:val="ru-RU"/>
        </w:rPr>
        <w:t xml:space="preserve"> СЕЛЬСКОГО ПОСЕЛЕНИЯ</w:t>
      </w:r>
    </w:p>
    <w:p w14:paraId="00000004">
      <w:pPr>
        <w:jc w:val="center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ЛЯМБИРСКОГО</w:t>
      </w:r>
      <w:r>
        <w:rPr>
          <w:rFonts w:ascii="Times New Roman" w:cs="Times New Roman" w:hAnsi="Times New Roman"/>
          <w:sz w:val="28"/>
          <w:szCs w:val="28"/>
          <w:lang w:val="ru-RU"/>
        </w:rPr>
        <w:t xml:space="preserve"> МУНИЦИПАЛЬНОГО РАЙОНА</w:t>
      </w:r>
    </w:p>
    <w:p w14:paraId="00000005">
      <w:pPr>
        <w:jc w:val="center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РЕСПУБЛИКИ МОРДОВИЯ</w:t>
      </w:r>
    </w:p>
    <w:p w14:paraId="00000006">
      <w:pPr>
        <w:jc w:val="center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</w:t>
      </w:r>
    </w:p>
    <w:p w14:paraId="00000007">
      <w:pPr>
        <w:jc w:val="center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П О С Т А Н О В Л Е Н И Е</w:t>
      </w:r>
    </w:p>
    <w:p w14:paraId="00000008">
      <w:pPr>
        <w:jc w:val="center"/>
        <w:rPr>
          <w:rFonts w:ascii="Times New Roman" w:cs="Times New Roman" w:hAnsi="Times New Roman"/>
          <w:sz w:val="28"/>
          <w:szCs w:val="28"/>
          <w:lang w:val="ru-RU"/>
        </w:rPr>
      </w:pPr>
    </w:p>
    <w:p w14:paraId="00000009">
      <w:pPr>
        <w:jc w:val="center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 xml:space="preserve">2024                                                                   </w:t>
      </w:r>
      <w:r>
        <w:rPr>
          <w:rFonts w:ascii="Times New Roman" w:cs="Times New Roman" w:hAnsi="Times New Roman"/>
          <w:sz w:val="28"/>
          <w:szCs w:val="28"/>
          <w:lang w:val="ru-RU"/>
        </w:rPr>
        <w:t xml:space="preserve"> № </w:t>
      </w:r>
    </w:p>
    <w:p w14:paraId="0000000A">
      <w:pPr>
        <w:jc w:val="center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</w:t>
      </w:r>
    </w:p>
    <w:p w14:paraId="0000000B">
      <w:pPr>
        <w:jc w:val="center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 xml:space="preserve">с. </w:t>
      </w:r>
      <w:r>
        <w:rPr>
          <w:rFonts w:ascii="Times New Roman" w:cs="Times New Roman" w:hAnsi="Times New Roman"/>
          <w:sz w:val="28"/>
          <w:szCs w:val="28"/>
          <w:lang w:val="ru-RU"/>
        </w:rPr>
        <w:t>Берсеневка</w:t>
      </w:r>
    </w:p>
    <w:p w14:paraId="0000000C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</w:t>
      </w:r>
    </w:p>
    <w:p w14:paraId="0000000D">
      <w:pPr>
        <w:jc w:val="center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 xml:space="preserve">О СОЗДАНИИ ЖИЛИЩНОЙ КОМИССИИ АДМИНИСТРАЦИИ </w:t>
      </w:r>
      <w:r>
        <w:rPr>
          <w:rFonts w:ascii="Times New Roman" w:cs="Times New Roman" w:hAnsi="Times New Roman"/>
          <w:sz w:val="28"/>
          <w:szCs w:val="28"/>
          <w:lang w:val="ru-RU"/>
        </w:rPr>
        <w:t>БЕРСЕНЕВСКОГО</w:t>
      </w:r>
      <w:r>
        <w:rPr>
          <w:rFonts w:ascii="Times New Roman" w:cs="Times New Roman" w:hAnsi="Times New Roman"/>
          <w:sz w:val="28"/>
          <w:szCs w:val="28"/>
          <w:lang w:val="ru-RU"/>
        </w:rPr>
        <w:t xml:space="preserve"> СЕЛЬСКОГО ПОСЕЛЕНИЯ, ОБ УТВЕРЖДЕНИИ ПОЛОЖЕНИЯ О ЖИЛИЩНОЙ КОМИССИИ И ЕЕ СОСТАВА</w:t>
      </w:r>
    </w:p>
    <w:p w14:paraId="0000000E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</w:t>
      </w:r>
    </w:p>
    <w:p w14:paraId="0000000F">
      <w:pPr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 xml:space="preserve">В соответствии с Жилищным кодексом Российской Федерации, Федеральным законом «Об общих принципах организации местного самоуправления в Российской Федерации» от 06.10.2003 г. № 131–ФЗ, руководствуясь Уставом </w:t>
      </w:r>
      <w:r>
        <w:rPr>
          <w:rFonts w:ascii="Times New Roman" w:cs="Times New Roman" w:hAnsi="Times New Roman"/>
          <w:sz w:val="28"/>
          <w:szCs w:val="28"/>
          <w:lang w:val="ru-RU"/>
        </w:rPr>
        <w:t>Берсеневского</w:t>
      </w:r>
      <w:r>
        <w:rPr>
          <w:rFonts w:ascii="Times New Roman" w:cs="Times New Roman" w:hAnsi="Times New Roman"/>
          <w:sz w:val="28"/>
          <w:szCs w:val="28"/>
          <w:lang w:val="ru-RU"/>
        </w:rPr>
        <w:t xml:space="preserve"> сельского поселения администрация постановляет:</w:t>
      </w:r>
    </w:p>
    <w:p w14:paraId="00000010">
      <w:pPr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 xml:space="preserve">1. Создать при Администрации </w:t>
      </w:r>
      <w:r>
        <w:rPr>
          <w:rFonts w:ascii="Times New Roman" w:cs="Times New Roman" w:hAnsi="Times New Roman"/>
          <w:sz w:val="28"/>
          <w:szCs w:val="28"/>
          <w:lang w:val="ru-RU"/>
        </w:rPr>
        <w:t>Берсеневского</w:t>
      </w:r>
      <w:r>
        <w:rPr>
          <w:rFonts w:ascii="Times New Roman" w:cs="Times New Roman" w:hAnsi="Times New Roman"/>
          <w:sz w:val="28"/>
          <w:szCs w:val="28"/>
          <w:lang w:val="ru-RU"/>
        </w:rPr>
        <w:t xml:space="preserve"> сельского поселения жилищную комиссию.</w:t>
      </w:r>
    </w:p>
    <w:p w14:paraId="00000011">
      <w:pPr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 xml:space="preserve">2. Утвердить Положение о жилищной комиссии Администрации </w:t>
      </w:r>
      <w:r>
        <w:rPr>
          <w:rFonts w:ascii="Times New Roman" w:cs="Times New Roman" w:hAnsi="Times New Roman"/>
          <w:sz w:val="28"/>
          <w:szCs w:val="28"/>
          <w:lang w:val="ru-RU"/>
        </w:rPr>
        <w:t xml:space="preserve">Берсеневского </w:t>
      </w:r>
      <w:r>
        <w:rPr>
          <w:rFonts w:ascii="Times New Roman" w:cs="Times New Roman" w:hAnsi="Times New Roman"/>
          <w:sz w:val="28"/>
          <w:szCs w:val="28"/>
          <w:lang w:val="ru-RU"/>
        </w:rPr>
        <w:t>сельского поселения (Приложение 1).</w:t>
      </w:r>
    </w:p>
    <w:p w14:paraId="00000012">
      <w:pPr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 xml:space="preserve">3. Утвердить состав жилищной комиссии Администрации </w:t>
      </w:r>
      <w:r>
        <w:rPr>
          <w:rFonts w:ascii="Times New Roman" w:cs="Times New Roman" w:hAnsi="Times New Roman"/>
          <w:sz w:val="28"/>
          <w:szCs w:val="28"/>
          <w:lang w:val="ru-RU"/>
        </w:rPr>
        <w:t>Берсеневского</w:t>
      </w:r>
      <w:r>
        <w:rPr>
          <w:rFonts w:ascii="Times New Roman" w:cs="Times New Roman" w:hAnsi="Times New Roman"/>
          <w:sz w:val="28"/>
          <w:szCs w:val="28"/>
          <w:lang w:val="ru-RU"/>
        </w:rPr>
        <w:t xml:space="preserve"> сельского поселения (Приложение 2).</w:t>
      </w:r>
    </w:p>
    <w:p w14:paraId="00000013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4. Контроль за исполнением настоящего постановления возлагаю на себя.</w:t>
      </w:r>
    </w:p>
    <w:p w14:paraId="00000014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 xml:space="preserve">5.Настоящее постановление подлежит обнародованию в информационном бюллетене </w:t>
      </w:r>
      <w:r>
        <w:rPr>
          <w:rFonts w:ascii="Times New Roman" w:cs="Times New Roman" w:hAnsi="Times New Roman"/>
          <w:sz w:val="28"/>
          <w:szCs w:val="28"/>
          <w:lang w:val="ru-RU"/>
        </w:rPr>
        <w:t>Берсеневского</w:t>
      </w:r>
      <w:r>
        <w:rPr>
          <w:rFonts w:ascii="Times New Roman" w:cs="Times New Roman" w:hAnsi="Times New Roman"/>
          <w:sz w:val="28"/>
          <w:szCs w:val="28"/>
          <w:lang w:val="ru-RU"/>
        </w:rPr>
        <w:t xml:space="preserve"> сельского поселения и  размещению на официальном сайте органов местного самоуправления  в сети «Интернет».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</w:p>
    <w:p w14:paraId="00000015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</w:t>
      </w:r>
    </w:p>
    <w:p w14:paraId="00000016">
      <w:pPr>
        <w:rPr>
          <w:rFonts w:ascii="Times New Roman" w:cs="Times New Roman" w:hAnsi="Times New Roman"/>
          <w:sz w:val="28"/>
          <w:szCs w:val="28"/>
        </w:rPr>
      </w:pPr>
    </w:p>
    <w:p w14:paraId="00000017">
      <w:pPr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Глава администрации</w:t>
      </w:r>
    </w:p>
    <w:p w14:paraId="00000018">
      <w:pPr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 xml:space="preserve">Берсеневского </w:t>
      </w:r>
      <w:r>
        <w:rPr>
          <w:rFonts w:ascii="Times New Roman" w:cs="Times New Roman" w:hAnsi="Times New Roman"/>
          <w:sz w:val="28"/>
          <w:szCs w:val="28"/>
          <w:lang w:val="ru-RU"/>
        </w:rPr>
        <w:t>сельского поселения                              В.А. Логвинов</w:t>
      </w:r>
    </w:p>
    <w:p w14:paraId="00000019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</w:t>
      </w:r>
    </w:p>
    <w:p w14:paraId="0000001A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</w:t>
      </w:r>
    </w:p>
    <w:p w14:paraId="0000001B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</w:t>
      </w:r>
    </w:p>
    <w:p w14:paraId="0000001C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</w:t>
      </w:r>
    </w:p>
    <w:p w14:paraId="0000001D">
      <w:pPr>
        <w:rPr>
          <w:rFonts w:ascii="Times New Roman" w:cs="Times New Roman" w:hAnsi="Times New Roman"/>
          <w:sz w:val="28"/>
          <w:szCs w:val="28"/>
        </w:rPr>
      </w:pPr>
    </w:p>
    <w:p w14:paraId="0000001E">
      <w:pPr>
        <w:rPr>
          <w:rFonts w:ascii="Times New Roman" w:cs="Times New Roman" w:hAnsi="Times New Roman"/>
          <w:sz w:val="28"/>
          <w:szCs w:val="28"/>
        </w:rPr>
      </w:pPr>
    </w:p>
    <w:p w14:paraId="0000001F">
      <w:pPr>
        <w:rPr>
          <w:rFonts w:ascii="Times New Roman" w:cs="Times New Roman" w:hAnsi="Times New Roman"/>
          <w:sz w:val="28"/>
          <w:szCs w:val="28"/>
        </w:rPr>
      </w:pPr>
    </w:p>
    <w:p w14:paraId="00000020">
      <w:pPr>
        <w:rPr>
          <w:rFonts w:ascii="Times New Roman" w:cs="Times New Roman" w:hAnsi="Times New Roman"/>
          <w:sz w:val="28"/>
          <w:szCs w:val="28"/>
        </w:rPr>
      </w:pPr>
    </w:p>
    <w:p w14:paraId="00000021">
      <w:pPr>
        <w:rPr>
          <w:rFonts w:ascii="Times New Roman" w:cs="Times New Roman" w:hAnsi="Times New Roman"/>
          <w:sz w:val="28"/>
          <w:szCs w:val="28"/>
        </w:rPr>
      </w:pPr>
    </w:p>
    <w:p w14:paraId="00000022">
      <w:pPr>
        <w:rPr>
          <w:rFonts w:ascii="Times New Roman" w:cs="Times New Roman" w:hAnsi="Times New Roman"/>
          <w:sz w:val="28"/>
          <w:szCs w:val="28"/>
        </w:rPr>
      </w:pPr>
    </w:p>
    <w:p w14:paraId="00000023">
      <w:pPr>
        <w:rPr>
          <w:rFonts w:ascii="Times New Roman" w:cs="Times New Roman" w:hAnsi="Times New Roman"/>
          <w:sz w:val="28"/>
          <w:szCs w:val="28"/>
        </w:rPr>
      </w:pPr>
    </w:p>
    <w:p w14:paraId="00000024">
      <w:pPr>
        <w:rPr>
          <w:rFonts w:ascii="Times New Roman" w:cs="Times New Roman" w:hAnsi="Times New Roman"/>
          <w:sz w:val="28"/>
          <w:szCs w:val="28"/>
        </w:rPr>
      </w:pPr>
    </w:p>
    <w:p w14:paraId="00000025">
      <w:pPr>
        <w:rPr>
          <w:rFonts w:ascii="Times New Roman" w:cs="Times New Roman" w:hAnsi="Times New Roman"/>
          <w:sz w:val="28"/>
          <w:szCs w:val="28"/>
        </w:rPr>
      </w:pPr>
    </w:p>
    <w:p w14:paraId="00000026">
      <w:pPr>
        <w:rPr>
          <w:rFonts w:ascii="Times New Roman" w:cs="Times New Roman" w:hAnsi="Times New Roman"/>
          <w:sz w:val="28"/>
          <w:szCs w:val="28"/>
        </w:rPr>
      </w:pPr>
    </w:p>
    <w:p w14:paraId="00000027">
      <w:pPr>
        <w:rPr>
          <w:rFonts w:ascii="Times New Roman" w:cs="Times New Roman" w:hAnsi="Times New Roman"/>
          <w:sz w:val="28"/>
          <w:szCs w:val="28"/>
        </w:rPr>
      </w:pPr>
    </w:p>
    <w:p w14:paraId="00000028">
      <w:pPr>
        <w:rPr>
          <w:rFonts w:ascii="Times New Roman" w:cs="Times New Roman" w:hAnsi="Times New Roman"/>
          <w:sz w:val="28"/>
          <w:szCs w:val="28"/>
        </w:rPr>
      </w:pPr>
    </w:p>
    <w:p w14:paraId="00000029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</w:t>
      </w:r>
    </w:p>
    <w:p w14:paraId="0000002A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</w:t>
      </w:r>
    </w:p>
    <w:p w14:paraId="0000002B">
      <w:pPr>
        <w:jc w:val="right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ПРИЛОЖЕНИЕ 1</w:t>
      </w:r>
    </w:p>
    <w:p w14:paraId="0000002C">
      <w:pPr>
        <w:jc w:val="right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УТВЕРЖДЕНО:</w:t>
      </w:r>
    </w:p>
    <w:p w14:paraId="0000002D">
      <w:pPr>
        <w:jc w:val="right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постановлением администрации</w:t>
      </w:r>
    </w:p>
    <w:p w14:paraId="0000002E">
      <w:pPr>
        <w:jc w:val="right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 xml:space="preserve">Берсеневского </w:t>
      </w:r>
      <w:r>
        <w:rPr>
          <w:rFonts w:ascii="Times New Roman" w:cs="Times New Roman" w:hAnsi="Times New Roman"/>
          <w:sz w:val="28"/>
          <w:szCs w:val="28"/>
          <w:lang w:val="ru-RU"/>
        </w:rPr>
        <w:t>сельского поселения</w:t>
      </w:r>
    </w:p>
    <w:p w14:paraId="0000002F">
      <w:pPr>
        <w:jc w:val="right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 xml:space="preserve">от </w:t>
      </w:r>
      <w:r>
        <w:rPr>
          <w:rFonts w:ascii="Times New Roman" w:cs="Times New Roman" w:hAnsi="Times New Roman"/>
          <w:sz w:val="28"/>
          <w:szCs w:val="28"/>
          <w:lang w:val="ru-RU"/>
        </w:rPr>
        <w:t>2024</w:t>
      </w:r>
      <w:r>
        <w:rPr>
          <w:rFonts w:ascii="Times New Roman" w:cs="Times New Roman" w:hAnsi="Times New Roman"/>
          <w:sz w:val="28"/>
          <w:szCs w:val="28"/>
          <w:lang w:val="ru-RU"/>
        </w:rPr>
        <w:t xml:space="preserve">г. № </w:t>
      </w:r>
    </w:p>
    <w:p w14:paraId="00000030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</w:t>
      </w:r>
    </w:p>
    <w:p w14:paraId="00000031">
      <w:pPr>
        <w:rPr>
          <w:rFonts w:ascii="Times New Roman" w:cs="Times New Roman" w:hAnsi="Times New Roman"/>
          <w:sz w:val="28"/>
          <w:szCs w:val="28"/>
        </w:rPr>
      </w:pPr>
    </w:p>
    <w:p w14:paraId="00000032">
      <w:pPr>
        <w:jc w:val="center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ПОЛОЖЕНИЕ</w:t>
      </w:r>
    </w:p>
    <w:p w14:paraId="00000033">
      <w:pPr>
        <w:jc w:val="center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жилищной комиссии</w:t>
      </w:r>
    </w:p>
    <w:p w14:paraId="00000034">
      <w:pPr>
        <w:jc w:val="center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Берсеневского</w:t>
      </w:r>
      <w:r>
        <w:rPr>
          <w:rFonts w:ascii="Times New Roman" w:cs="Times New Roman" w:hAnsi="Times New Roman"/>
          <w:sz w:val="28"/>
          <w:szCs w:val="28"/>
          <w:lang w:val="ru-RU"/>
        </w:rPr>
        <w:t xml:space="preserve"> сельского поселения Лямбирского муниципального района Республики Мордовия</w:t>
      </w:r>
    </w:p>
    <w:p w14:paraId="00000035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</w:t>
      </w:r>
    </w:p>
    <w:p w14:paraId="00000036">
      <w:pPr>
        <w:jc w:val="center"/>
        <w:rPr>
          <w:rFonts w:ascii="Times New Roman" w:cs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>1. Общие положения</w:t>
      </w:r>
    </w:p>
    <w:p w14:paraId="00000037">
      <w:pPr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  <w:lang w:val="ru-RU"/>
        </w:rPr>
        <w:t>1.1. Настоящее Положение определяет статус и порядок деятельности Жилищной комиссии администрации Берсеневского сельского поселения (далее – Жилищная Комиссия, комиссия).</w:t>
      </w:r>
    </w:p>
    <w:p w14:paraId="00000038">
      <w:pPr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1.2. Комиссия в своей работе руководствуется Конституцией Российской Федерации, Жилищным кодексом Российской Федерации, Федеральным законом от 06.10.2003 N 131-ФЗ «Об общих принципах организации местного самоуправления в Российской Федерации», уставом, а также настоящим Положением.</w:t>
      </w:r>
    </w:p>
    <w:p w14:paraId="00000039">
      <w:pPr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 xml:space="preserve">1.3. Состав комиссии утверждается постановлением Администрации </w:t>
      </w:r>
      <w:r>
        <w:rPr>
          <w:rFonts w:ascii="Times New Roman" w:cs="Times New Roman" w:hAnsi="Times New Roman"/>
          <w:sz w:val="28"/>
          <w:szCs w:val="28"/>
          <w:lang w:val="ru-RU"/>
        </w:rPr>
        <w:t>Берсеневского</w:t>
      </w:r>
      <w:r>
        <w:rPr>
          <w:rFonts w:ascii="Times New Roman" w:cs="Times New Roman" w:hAnsi="Times New Roman"/>
          <w:sz w:val="28"/>
          <w:szCs w:val="28"/>
          <w:lang w:val="ru-RU"/>
        </w:rPr>
        <w:t xml:space="preserve"> сельского поселения.</w:t>
      </w:r>
    </w:p>
    <w:p w14:paraId="0000003A">
      <w:pPr>
        <w:jc w:val="center"/>
        <w:rPr>
          <w:rFonts w:ascii="Times New Roman" w:cs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>2. Основные задачи и функции комиссии</w:t>
      </w:r>
    </w:p>
    <w:p w14:paraId="0000003B">
      <w:pPr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  <w:lang w:val="ru-RU"/>
        </w:rPr>
        <w:t>2.1. Основными задачами комиссии являются:</w:t>
      </w:r>
    </w:p>
    <w:p w14:paraId="0000003C">
      <w:pPr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- признание граждан нуждающимися в жилых помещениях, предоставляемых по договорам социального найма;</w:t>
      </w:r>
    </w:p>
    <w:p w14:paraId="0000003D">
      <w:pPr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- предоставление жилых помещений муниципального жилого фонда.</w:t>
      </w:r>
    </w:p>
    <w:p w14:paraId="0000003E">
      <w:pPr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2.2. Основными функциями комиссии являются:</w:t>
      </w:r>
    </w:p>
    <w:p w14:paraId="0000003F">
      <w:pPr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- рассмотрение и проверка документов и содержащихся в них сведениях, предоставляемых в комиссию;</w:t>
      </w:r>
    </w:p>
    <w:p w14:paraId="00000040">
      <w:pPr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- принятие постановлений о признании граждан  в качестве нуждающихся в жилых помещениях, предоставляемых по договору социального найма</w:t>
      </w:r>
    </w:p>
    <w:p w14:paraId="00000041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- внесение изменений в состав семьи граждан, состоящих на учете в качестве нуждающихся в жилых помещениях, а также перевода очереди на других членов семьи.</w:t>
      </w:r>
    </w:p>
    <w:p w14:paraId="00000042">
      <w:pPr>
        <w:jc w:val="center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>3 Деятельность комиссии</w:t>
      </w:r>
    </w:p>
    <w:p w14:paraId="00000043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3.1 Формой деятельности комиссии являются заседания, которые проводятся по мере необходимости в сроки, определяемые председателем комиссии.</w:t>
      </w:r>
    </w:p>
    <w:p w14:paraId="00000044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3.2. Руководство деятельностью комиссии осуществляет председатель комиссии, а в его отсутствие - заместитель председателя комиссии.</w:t>
      </w:r>
    </w:p>
    <w:p w14:paraId="00000045">
      <w:pPr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3.3 По решению председателя комиссии секретарь организует заседание комиссии и подготовку вопросов, подлежащих рассмотрению на нем.</w:t>
      </w:r>
    </w:p>
    <w:p w14:paraId="00000046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3.4. В случае отсутствия члена комиссии на заседании, он имеет право изложить свое мнение по рассматриваемому вопросу в письменной форме.</w:t>
      </w:r>
    </w:p>
    <w:p w14:paraId="00000047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3.5. Заседание комиссии считается правомочным, если на нем присутствует не менее половины членов комиссии, включающих председателя и секретаря.</w:t>
      </w:r>
    </w:p>
    <w:p w14:paraId="00000048">
      <w:pPr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3.6 Решение комиссии считается принятым, если за него проголосовало не менее половины присутствующих на заседании. В ходе заседания комиссии секретарь комиссии ведет протокол заседания, который подписывает председательствующий на заседании и секретарь комиссии.</w:t>
      </w:r>
    </w:p>
    <w:p w14:paraId="00000049">
      <w:pPr>
        <w:rPr>
          <w:rFonts w:ascii="Times New Roman" w:cs="Times New Roman" w:hAnsi="Times New Roman"/>
          <w:sz w:val="28"/>
          <w:szCs w:val="28"/>
        </w:rPr>
      </w:pPr>
    </w:p>
    <w:p w14:paraId="0000004A">
      <w:pPr>
        <w:jc w:val="center"/>
        <w:rPr>
          <w:rFonts w:ascii="Times New Roman" w:cs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>4. Права комиссии</w:t>
      </w:r>
    </w:p>
    <w:p w14:paraId="0000004B">
      <w:pPr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  <w:lang w:val="ru-RU"/>
        </w:rPr>
        <w:t>4.1. Запрашивать и получать в установленном порядке необходимые для ее деятельности документы, материалы, информацию от организаций различных организационно-правовых форм;</w:t>
      </w:r>
    </w:p>
    <w:p w14:paraId="0000004C">
      <w:pPr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4.2.Рассматривать на заседаниях вопросы, отнесенные к ее компетенции, и принимать решения по этим вопросам;</w:t>
      </w:r>
    </w:p>
    <w:p w14:paraId="0000004D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4.4 Комиссия не вправе требовать предоставление других документов, кроме документов, установленных законодательством Российской Федерации.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</w:p>
    <w:p w14:paraId="0000004E">
      <w:pPr>
        <w:jc w:val="center"/>
        <w:rPr>
          <w:rFonts w:ascii="Times New Roman" w:cs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>5. Ответственность комиссии.</w:t>
      </w:r>
    </w:p>
    <w:p w14:paraId="0000004F">
      <w:pPr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  <w:lang w:val="ru-RU"/>
        </w:rPr>
        <w:t>5.1. За исполнение своих функций и полномочий комиссия несет ответственность в соответствии с действующим законодательством Российской Федерации.</w:t>
      </w:r>
    </w:p>
    <w:p w14:paraId="00000050">
      <w:pPr>
        <w:rPr>
          <w:rFonts w:ascii="Times New Roman" w:cs="Times New Roman" w:hAnsi="Times New Roman"/>
          <w:sz w:val="28"/>
          <w:szCs w:val="28"/>
        </w:rPr>
      </w:pPr>
    </w:p>
    <w:p w14:paraId="00000051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</w:t>
      </w:r>
    </w:p>
    <w:p w14:paraId="00000052">
      <w:pPr>
        <w:rPr>
          <w:rFonts w:ascii="Times New Roman" w:cs="Times New Roman" w:hAnsi="Times New Roman"/>
          <w:sz w:val="28"/>
          <w:szCs w:val="28"/>
        </w:rPr>
      </w:pPr>
    </w:p>
    <w:p w14:paraId="00000053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</w:t>
      </w:r>
    </w:p>
    <w:p w14:paraId="00000054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</w:t>
      </w:r>
    </w:p>
    <w:p w14:paraId="00000055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</w:t>
      </w:r>
    </w:p>
    <w:p w14:paraId="00000056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</w:t>
      </w:r>
    </w:p>
    <w:p w14:paraId="00000057">
      <w:pPr>
        <w:rPr>
          <w:rFonts w:ascii="Times New Roman" w:cs="Times New Roman" w:hAnsi="Times New Roman"/>
          <w:sz w:val="28"/>
          <w:szCs w:val="28"/>
        </w:rPr>
      </w:pPr>
    </w:p>
    <w:p w14:paraId="00000058">
      <w:pPr>
        <w:rPr>
          <w:rFonts w:ascii="Times New Roman" w:cs="Times New Roman" w:hAnsi="Times New Roman"/>
          <w:sz w:val="28"/>
          <w:szCs w:val="28"/>
        </w:rPr>
      </w:pPr>
    </w:p>
    <w:p w14:paraId="00000059">
      <w:pPr>
        <w:rPr>
          <w:rFonts w:ascii="Times New Roman" w:cs="Times New Roman" w:hAnsi="Times New Roman"/>
          <w:sz w:val="28"/>
          <w:szCs w:val="28"/>
        </w:rPr>
      </w:pPr>
    </w:p>
    <w:p w14:paraId="0000005A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</w:t>
      </w:r>
    </w:p>
    <w:p w14:paraId="0000005B">
      <w:pPr>
        <w:rPr>
          <w:rFonts w:ascii="Times New Roman" w:cs="Times New Roman" w:hAnsi="Times New Roman"/>
          <w:sz w:val="28"/>
          <w:szCs w:val="28"/>
        </w:rPr>
      </w:pPr>
    </w:p>
    <w:p w14:paraId="0000005C">
      <w:pPr>
        <w:rPr>
          <w:rFonts w:ascii="Times New Roman" w:cs="Times New Roman" w:hAnsi="Times New Roman"/>
          <w:sz w:val="28"/>
          <w:szCs w:val="28"/>
        </w:rPr>
      </w:pPr>
    </w:p>
    <w:p w14:paraId="0000005D">
      <w:pPr>
        <w:rPr>
          <w:rFonts w:ascii="Times New Roman" w:cs="Times New Roman" w:hAnsi="Times New Roman"/>
          <w:sz w:val="28"/>
          <w:szCs w:val="28"/>
        </w:rPr>
      </w:pPr>
    </w:p>
    <w:p w14:paraId="0000005E">
      <w:pPr>
        <w:rPr>
          <w:rFonts w:ascii="Times New Roman" w:cs="Times New Roman" w:hAnsi="Times New Roman"/>
          <w:sz w:val="28"/>
          <w:szCs w:val="28"/>
        </w:rPr>
      </w:pPr>
    </w:p>
    <w:p w14:paraId="0000005F">
      <w:pPr>
        <w:rPr>
          <w:rFonts w:ascii="Times New Roman" w:cs="Times New Roman" w:hAnsi="Times New Roman"/>
          <w:sz w:val="28"/>
          <w:szCs w:val="28"/>
        </w:rPr>
      </w:pPr>
    </w:p>
    <w:p w14:paraId="00000060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</w:t>
      </w:r>
    </w:p>
    <w:p w14:paraId="00000061">
      <w:pPr>
        <w:jc w:val="right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ПРИЛОЖЕНИЕ 2</w:t>
      </w:r>
    </w:p>
    <w:p w14:paraId="00000062">
      <w:pPr>
        <w:jc w:val="right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УТВЕРЖДЕНО:</w:t>
      </w:r>
    </w:p>
    <w:p w14:paraId="00000063">
      <w:pPr>
        <w:jc w:val="right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постановлением администрации</w:t>
      </w:r>
    </w:p>
    <w:p w14:paraId="00000064">
      <w:pPr>
        <w:jc w:val="right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 xml:space="preserve">Берсеневского </w:t>
      </w:r>
      <w:r>
        <w:rPr>
          <w:rFonts w:ascii="Times New Roman" w:cs="Times New Roman" w:hAnsi="Times New Roman"/>
          <w:sz w:val="28"/>
          <w:szCs w:val="28"/>
          <w:lang w:val="ru-RU"/>
        </w:rPr>
        <w:t>сельского поселения</w:t>
      </w:r>
    </w:p>
    <w:p w14:paraId="00000065">
      <w:pPr>
        <w:jc w:val="right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 xml:space="preserve">от 2024 г. № </w:t>
      </w:r>
    </w:p>
    <w:p w14:paraId="00000066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</w:t>
      </w:r>
    </w:p>
    <w:p w14:paraId="00000067">
      <w:pPr>
        <w:jc w:val="center"/>
        <w:rPr>
          <w:rFonts w:ascii="Times New Roman" w:cs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>Состав жилищной комиссии</w:t>
      </w:r>
    </w:p>
    <w:p w14:paraId="00000068">
      <w:pPr>
        <w:jc w:val="center"/>
        <w:rPr>
          <w:rFonts w:ascii="Times New Roman" w:cs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 xml:space="preserve">администрации </w:t>
      </w: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 xml:space="preserve">Берсеневского </w:t>
      </w: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>сельского поселения:</w:t>
      </w:r>
    </w:p>
    <w:p w14:paraId="00000069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</w:t>
      </w:r>
    </w:p>
    <w:p w14:paraId="0000006A">
      <w:pPr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Председатель комиссии:</w:t>
      </w:r>
    </w:p>
    <w:p w14:paraId="0000006B">
      <w:pPr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Логвинов В.А.</w:t>
      </w:r>
      <w:r>
        <w:rPr>
          <w:rFonts w:ascii="Times New Roman" w:cs="Times New Roman" w:hAnsi="Times New Roman"/>
          <w:sz w:val="28"/>
          <w:szCs w:val="28"/>
          <w:lang w:val="ru-RU"/>
        </w:rPr>
        <w:t xml:space="preserve"> – Глава администрации </w:t>
      </w:r>
      <w:r>
        <w:rPr>
          <w:rFonts w:ascii="Times New Roman" w:cs="Times New Roman" w:hAnsi="Times New Roman"/>
          <w:sz w:val="28"/>
          <w:szCs w:val="28"/>
          <w:lang w:val="ru-RU"/>
        </w:rPr>
        <w:t>Берсеневского</w:t>
      </w:r>
      <w:r>
        <w:rPr>
          <w:rFonts w:ascii="Times New Roman" w:cs="Times New Roman" w:hAnsi="Times New Roman"/>
          <w:sz w:val="28"/>
          <w:szCs w:val="28"/>
          <w:lang w:val="ru-RU"/>
        </w:rPr>
        <w:t xml:space="preserve"> сельского поселения </w:t>
      </w:r>
    </w:p>
    <w:p w14:paraId="0000006C">
      <w:pPr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Секретарь комиссии:</w:t>
      </w:r>
    </w:p>
    <w:p w14:paraId="0000006D">
      <w:pPr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Бурлакова Н.Ю.</w:t>
      </w:r>
      <w:r>
        <w:rPr>
          <w:rFonts w:ascii="Times New Roman" w:cs="Times New Roman" w:hAnsi="Times New Roman"/>
          <w:sz w:val="28"/>
          <w:szCs w:val="28"/>
          <w:lang w:val="ru-RU"/>
        </w:rPr>
        <w:t xml:space="preserve"> – заместитель главы администрации </w:t>
      </w:r>
      <w:r>
        <w:rPr>
          <w:rFonts w:ascii="Times New Roman" w:cs="Times New Roman" w:hAnsi="Times New Roman"/>
          <w:sz w:val="28"/>
          <w:szCs w:val="28"/>
          <w:lang w:val="ru-RU"/>
        </w:rPr>
        <w:t>Берсеневского</w:t>
      </w:r>
      <w:r>
        <w:rPr>
          <w:rFonts w:ascii="Times New Roman" w:cs="Times New Roman" w:hAnsi="Times New Roman"/>
          <w:sz w:val="28"/>
          <w:szCs w:val="28"/>
          <w:lang w:val="ru-RU"/>
        </w:rPr>
        <w:t xml:space="preserve"> сельского поселения</w:t>
      </w:r>
    </w:p>
    <w:p w14:paraId="0000006E">
      <w:pPr>
        <w:rPr>
          <w:rFonts w:ascii="Times New Roman" w:cs="Times New Roman" w:hAnsi="Times New Roman"/>
          <w:sz w:val="28"/>
          <w:szCs w:val="28"/>
          <w:lang w:val="ru-RU"/>
        </w:rPr>
      </w:pPr>
    </w:p>
    <w:p w14:paraId="0000006F">
      <w:pPr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Члены комиссии:</w:t>
      </w:r>
    </w:p>
    <w:p w14:paraId="00000070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Лемяскина О.А.</w:t>
      </w:r>
      <w:r>
        <w:rPr>
          <w:rFonts w:ascii="Times New Roman" w:cs="Times New Roman" w:hAnsi="Times New Roman"/>
          <w:sz w:val="28"/>
          <w:szCs w:val="28"/>
          <w:lang w:val="ru-RU"/>
        </w:rPr>
        <w:t xml:space="preserve"> – главный специалист администрации Берсеневского сельского поселения;</w:t>
      </w:r>
    </w:p>
    <w:p w14:paraId="00000071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 xml:space="preserve">Елисеева Н.Н.- Глава </w:t>
      </w:r>
      <w:r>
        <w:rPr>
          <w:rFonts w:ascii="Times New Roman" w:cs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cs="Times New Roman" w:hAnsi="Times New Roman"/>
          <w:sz w:val="28"/>
          <w:szCs w:val="28"/>
          <w:lang w:val="ru-RU"/>
        </w:rPr>
        <w:t>Берсеневского</w:t>
      </w:r>
      <w:r>
        <w:rPr>
          <w:rFonts w:ascii="Times New Roman" w:cs="Times New Roman" w:hAnsi="Times New Roman"/>
          <w:sz w:val="28"/>
          <w:szCs w:val="28"/>
          <w:lang w:val="ru-RU"/>
        </w:rPr>
        <w:t xml:space="preserve"> сельского поселения;</w:t>
      </w:r>
    </w:p>
    <w:p w14:paraId="00000072">
      <w:pPr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 xml:space="preserve">         - </w:t>
      </w:r>
      <w:r>
        <w:rPr>
          <w:rFonts w:ascii="Times New Roman" w:cs="Times New Roman" w:hAnsi="Times New Roman"/>
          <w:sz w:val="28"/>
          <w:szCs w:val="28"/>
          <w:lang w:val="ru-RU"/>
        </w:rPr>
        <w:t xml:space="preserve">отдел строительства </w:t>
      </w:r>
      <w:r>
        <w:rPr>
          <w:rFonts w:ascii="Times New Roman" w:cs="Times New Roman" w:hAnsi="Times New Roman"/>
          <w:sz w:val="28"/>
          <w:szCs w:val="28"/>
          <w:lang w:val="ru-RU"/>
        </w:rPr>
        <w:t xml:space="preserve"> Лямбирского района (по согласованию).</w:t>
      </w:r>
    </w:p>
    <w:p w14:paraId="00000073">
      <w:pPr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 xml:space="preserve">         -отдел ЖКХ Лямбирского района</w:t>
      </w:r>
    </w:p>
    <w:p w14:paraId="00000074">
      <w:pPr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 xml:space="preserve">        </w:t>
      </w:r>
    </w:p>
    <w:sectPr>
      <w:headerReference w:type="default" r:id="rId7"/>
      <w:footerReference w:type="default" r:id="rId8"/>
      <w:footnotePr/>
      <w:type w:val="nextPage"/>
      <w:pgSz w:w="11906" w:h="16838" w:orient="portrait"/>
      <w:pgMar w:top="1440" w:right="1440" w:bottom="1440" w:left="1440" w:header="708" w:footer="708" w:gutter="0"/>
      <w:paperSrc w:first="1" w:other="1"/>
      <w:cols w:equalWidth="1" w:space="720" w:num="1" w:sep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00000000" w:usb2="00000008" w:usb3="00000000" w:csb0="000001ff" w:csb1="00000000"/>
  </w:font>
  <w:font w:name="Calibri">
    <w:panose1 w:val="020f0502020204030204"/>
    <w:charset w:val="00"/>
    <w:family w:val="swiss"/>
    <w:pitch w:val="variable"/>
    <w:sig w:usb0="00000000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00000000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00000000" w:usb1="00000000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8" w:usb3="00000000" w:csb0="000001ff" w:csb1="00000000"/>
  </w:font>
  <w:font w:name="Tahoma">
    <w:panose1 w:val="020b0604030504040204"/>
    <w:charset w:val="00"/>
    <w:family w:val="roman"/>
    <w:pitch w:val="variable"/>
    <w:sig w:usb0="61002a87" w:usb1="00000000" w:usb2="00000008" w:usb3="00000000" w:csb0="000001ff" w:csb1="00000000"/>
  </w:font>
  <w:font w:name="Verdana">
    <w:panose1 w:val="020b0604030504040204"/>
    <w:charset w:val="00"/>
    <w:family w:val="roman"/>
    <w:pitch w:val="variable"/>
    <w:sig w:usb0="00000000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</w:fonts>
</file>

<file path=word/footer1.xml><?xml version="1.0" encoding="utf-8"?>
<w:ftr xmlns:w="http://schemas.openxmlformats.org/wordprocessingml/2006/main" xmlns:a="http://schemas.openxmlformats.org/drawingml/2006/main" xmlns:wps="http://schemas.microsoft.com/office/word/2010/wordprocessingShape" xmlns:wpg="http://schemas.microsoft.com/office/word/2010/wordprocessingGroup" xmlns:wp14="http://schemas.microsoft.com/office/word/2010/wordprocessingDrawing" xmlns:w14="http://schemas.microsoft.com/office/word/2010/wordml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pi="http://schemas.microsoft.com/office/word/2010/wordprocessingInk" xmlns:aink="http://schemas.microsoft.com/office/drawing/2016/ink" xmlns:dgm="http://schemas.openxmlformats.org/drawingml/2006/diagram">
  <w:p w14:paraId="00000076">
    <w:pPr>
      <w:spacing w:after="0" w:line="240" w:lineRule="auto"/>
      <w:rPr/>
    </w:pPr>
  </w:p>
</w:ftr>
</file>

<file path=word/header1.xml><?xml version="1.0" encoding="utf-8"?>
<w:hdr xmlns:w="http://schemas.openxmlformats.org/wordprocessingml/2006/main" xmlns:a="http://schemas.openxmlformats.org/drawingml/2006/main" xmlns:wps="http://schemas.microsoft.com/office/word/2010/wordprocessingShape" xmlns:wpg="http://schemas.microsoft.com/office/word/2010/wordprocessingGroup" xmlns:wp14="http://schemas.microsoft.com/office/word/2010/wordprocessingDrawing" xmlns:w14="http://schemas.microsoft.com/office/word/2010/wordml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pi="http://schemas.microsoft.com/office/word/2010/wordprocessingInk" xmlns:aink="http://schemas.microsoft.com/office/drawing/2016/ink" xmlns:dgm="http://schemas.openxmlformats.org/drawingml/2006/diagram">
  <w:p w14:paraId="00000075">
    <w:pPr>
      <w:spacing w:after="0" w:line="240" w:lineRule="auto"/>
      <w:rPr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ompat>
    <w:compatSetting w:name="compatibilityMode" w:uri="http://schemas.microsoft.com/office/word" w:val="14"/>
  </w:compat>
  <w:themeFontLang w:val="en-US" w:eastAsia="zh-CN" w:bidi="ar-SA"/>
  <w:clrSchemeMapping w:accent1="accent1" w:accent2="accent2" w:accent3="accent3" w:accent4="accent4" w:accent5="accent5" w:accent6="accent6" w:bg1="light1" w:bg2="light2" w:followedHyperlink="followedHyperlink" w:hyperlink="hyperlink" w:text1="dark1" w:text2="dark2"/>
  <w:footnotePr/>
  <w:endnotePr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EastAsia" w:hAnsiTheme="minorHAns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Normal">
    <w:name w:val="Normal"/>
    <w:uiPriority w:val="0"/>
    <w:qFormat w:val="on"/>
  </w:style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1f3763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qFormat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bCs/>
      <w:color w:val="4472c4" w:themeColor="accent1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1f3763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472c4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 w:val="on"/>
    <w:rPr>
      <w:i/>
      <w:iCs/>
    </w:rPr>
  </w:style>
  <w:style w:type="character" w:styleId="IntenseEmphasis">
    <w:name w:val="Intense Emphasis"/>
    <w:basedOn w:val="DefaultParagraphFont"/>
    <w:uiPriority w:val="21"/>
    <w:qFormat w:val="on"/>
    <w:rPr>
      <w:b/>
      <w:bCs/>
      <w:i/>
      <w:iCs/>
      <w:color w:val="4472c4" w:themeColor="accent1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472c4" w:themeColor="accent1" w:sz="4" w:space="4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rPr>
      <w:vertAlign w:val="superscript"/>
    </w:rPr>
  </w:style>
  <w:style w:type="character" w:styleId="Hyperlink">
    <w:name w:val="Hyperlink"/>
    <w:basedOn w:val="DefaultParagraphFont"/>
    <w:uiPriority w:val="99"/>
    <w:unhideWhenUsed w:val="on"/>
    <w:rPr>
      <w:color w:val="0563c1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basedOn w:val="Normal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unhideWhenUsed w:val="on"/>
    <w:qFormat w:val="on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6" Type="http://schemas.openxmlformats.org/officeDocument/2006/relationships/settings" Target="settings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/Relationships>
</file>

<file path=word/_rels/header1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По умолчанию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 panose="020F0502020204030204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Microsoft Office Word</Application>
  <AppVersion>14.000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</cp:coreProperties>
</file>