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ink="http://schemas.microsoft.com/office/drawing/2016/ink" xmlns:dgm="http://schemas.openxmlformats.org/drawingml/2006/diagram">
  <w:body>
    <w:p w14:paraId="0000000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</w:t>
      </w:r>
    </w:p>
    <w:p w14:paraId="00000002">
      <w:pPr>
        <w:pBdr>
          <w:top w:val="thinThickThinSmallGap" w:color="auto" w:sz="24" w:space="1"/>
          <w:left w:val="thinThickThinSmallGap" w:color="auto" w:sz="24" w:space="4"/>
          <w:bottom w:val="thinThickThinSmallGap" w:color="auto" w:sz="24" w:space="1"/>
          <w:right w:val="thinThickThinSmallGap" w:color="auto" w:sz="24" w:space="4"/>
        </w:pBdr>
        <w:rPr>
          <w:sz w:val="28"/>
          <w:szCs w:val="28"/>
        </w:rPr>
      </w:pPr>
    </w:p>
    <w:p w14:paraId="00000003">
      <w:pPr>
        <w:pBdr>
          <w:top w:val="thinThickThinSmallGap" w:color="auto" w:sz="24" w:space="1"/>
          <w:left w:val="thinThickThinSmallGap" w:color="auto" w:sz="24" w:space="4"/>
          <w:bottom w:val="thinThickThinSmallGap" w:color="auto" w:sz="24" w:space="1"/>
          <w:right w:val="thinThickThinSmallGap" w:color="auto" w:sz="24" w:space="4"/>
        </w:pBdr>
        <w:rPr>
          <w:sz w:val="28"/>
          <w:szCs w:val="28"/>
        </w:rPr>
      </w:pPr>
    </w:p>
    <w:p w14:paraId="00000004">
      <w:pPr>
        <w:pBdr>
          <w:top w:val="thinThickThinSmallGap" w:color="auto" w:sz="24" w:space="1"/>
          <w:left w:val="thinThickThinSmallGap" w:color="auto" w:sz="24" w:space="4"/>
          <w:bottom w:val="thinThickThinSmallGap" w:color="auto" w:sz="24" w:space="1"/>
          <w:right w:val="thinThickThinSmallGap" w:color="auto" w:sz="24" w:space="4"/>
        </w:pBdr>
        <w:rPr>
          <w:sz w:val="28"/>
          <w:szCs w:val="28"/>
        </w:rPr>
      </w:pPr>
    </w:p>
    <w:p w14:paraId="00000005">
      <w:pPr>
        <w:pBdr>
          <w:top w:val="thinThickThinSmallGap" w:color="auto" w:sz="24" w:space="1"/>
          <w:left w:val="thinThickThinSmallGap" w:color="auto" w:sz="24" w:space="4"/>
          <w:bottom w:val="thinThickThinSmallGap" w:color="auto" w:sz="24" w:space="1"/>
          <w:right w:val="thinThickThinSmallGap" w:color="auto" w:sz="24" w:space="4"/>
        </w:pBdr>
        <w:rPr>
          <w:sz w:val="28"/>
          <w:szCs w:val="28"/>
        </w:rPr>
      </w:pPr>
    </w:p>
    <w:p w14:paraId="00000006">
      <w:pPr>
        <w:pBdr>
          <w:top w:val="thinThickThinSmallGap" w:color="auto" w:sz="24" w:space="1"/>
          <w:left w:val="thinThickThinSmallGap" w:color="auto" w:sz="24" w:space="4"/>
          <w:bottom w:val="thinThickThinSmallGap" w:color="auto" w:sz="24" w:space="1"/>
          <w:right w:val="thinThickThinSmallGap" w:color="auto" w:sz="24" w:space="4"/>
        </w:pBdr>
        <w:rPr>
          <w:sz w:val="28"/>
          <w:szCs w:val="28"/>
        </w:rPr>
      </w:pPr>
    </w:p>
    <w:p w14:paraId="00000007">
      <w:pPr>
        <w:pBdr>
          <w:top w:val="thinThickThinSmallGap" w:color="auto" w:sz="24" w:space="1"/>
          <w:left w:val="thinThickThinSmallGap" w:color="auto" w:sz="24" w:space="4"/>
          <w:bottom w:val="thinThickThinSmallGap" w:color="auto" w:sz="24" w:space="1"/>
          <w:right w:val="thinThickThinSmallGap" w:color="auto" w:sz="24" w:space="4"/>
        </w:pBdr>
        <w:rPr>
          <w:sz w:val="28"/>
          <w:szCs w:val="28"/>
        </w:rPr>
      </w:pPr>
    </w:p>
    <w:p w14:paraId="00000008">
      <w:pPr>
        <w:pBdr>
          <w:top w:val="thinThickThinSmallGap" w:color="auto" w:sz="24" w:space="1"/>
          <w:left w:val="thinThickThinSmallGap" w:color="auto" w:sz="24" w:space="4"/>
          <w:bottom w:val="thinThickThinSmallGap" w:color="auto" w:sz="24" w:space="1"/>
          <w:right w:val="thinThickThinSmallGap" w:color="auto" w:sz="24" w:space="4"/>
        </w:pBdr>
        <w:rPr>
          <w:sz w:val="28"/>
          <w:szCs w:val="28"/>
        </w:rPr>
      </w:pPr>
    </w:p>
    <w:p w14:paraId="00000009">
      <w:pPr>
        <w:pBdr>
          <w:top w:val="thinThickThinSmallGap" w:color="auto" w:sz="24" w:space="1"/>
          <w:left w:val="thinThickThinSmallGap" w:color="auto" w:sz="24" w:space="4"/>
          <w:bottom w:val="thinThickThinSmallGap" w:color="auto" w:sz="24" w:space="1"/>
          <w:right w:val="thinThickThinSmallGap" w:color="auto" w:sz="24" w:space="4"/>
        </w:pBdr>
        <w:rPr>
          <w:sz w:val="28"/>
          <w:szCs w:val="28"/>
        </w:rPr>
      </w:pPr>
    </w:p>
    <w:p w14:paraId="0000000A">
      <w:pPr>
        <w:pBdr>
          <w:top w:val="thinThickThinSmallGap" w:color="auto" w:sz="24" w:space="1"/>
          <w:left w:val="thinThickThinSmallGap" w:color="auto" w:sz="24" w:space="4"/>
          <w:bottom w:val="thinThickThinSmallGap" w:color="auto" w:sz="24" w:space="1"/>
          <w:right w:val="thinThickThinSmallGap" w:color="auto" w:sz="24" w:space="4"/>
        </w:pBdr>
        <w:rPr>
          <w:sz w:val="28"/>
          <w:szCs w:val="28"/>
        </w:rPr>
      </w:pPr>
    </w:p>
    <w:p w14:paraId="0000000B">
      <w:pPr>
        <w:pBdr>
          <w:top w:val="thinThickThinSmallGap" w:color="auto" w:sz="24" w:space="1"/>
          <w:left w:val="thinThickThinSmallGap" w:color="auto" w:sz="24" w:space="4"/>
          <w:bottom w:val="thinThickThinSmallGap" w:color="auto" w:sz="24" w:space="1"/>
          <w:right w:val="thinThickThinSmallGap" w:color="auto" w:sz="24" w:space="4"/>
        </w:pBdr>
        <w:rPr>
          <w:sz w:val="28"/>
          <w:szCs w:val="28"/>
        </w:rPr>
      </w:pPr>
    </w:p>
    <w:p w14:paraId="0000000C">
      <w:pPr>
        <w:pBdr>
          <w:top w:val="thinThickThinSmallGap" w:color="auto" w:sz="24" w:space="1"/>
          <w:left w:val="thinThickThinSmallGap" w:color="auto" w:sz="24" w:space="4"/>
          <w:bottom w:val="thinThickThinSmallGap" w:color="auto" w:sz="24" w:space="1"/>
          <w:right w:val="thinThickThinSmallGap" w:color="auto" w:sz="24" w:space="4"/>
        </w:pBdr>
        <w:rPr>
          <w:sz w:val="28"/>
          <w:szCs w:val="28"/>
        </w:rPr>
      </w:pPr>
    </w:p>
    <w:p w14:paraId="0000000D">
      <w:pPr>
        <w:pBdr>
          <w:top w:val="thinThickThinSmallGap" w:color="auto" w:sz="24" w:space="1"/>
          <w:left w:val="thinThickThinSmallGap" w:color="auto" w:sz="24" w:space="4"/>
          <w:bottom w:val="thinThickThinSmallGap" w:color="auto" w:sz="24" w:space="1"/>
          <w:right w:val="thinThickThinSmallGap" w:color="auto" w:sz="24" w:space="4"/>
        </w:pBdr>
        <w:rPr>
          <w:sz w:val="28"/>
          <w:szCs w:val="28"/>
        </w:rPr>
      </w:pPr>
    </w:p>
    <w:p w14:paraId="0000000E">
      <w:pPr>
        <w:pBdr>
          <w:top w:val="thinThickThinSmallGap" w:color="auto" w:sz="24" w:space="1"/>
          <w:left w:val="thinThickThinSmallGap" w:color="auto" w:sz="24" w:space="4"/>
          <w:bottom w:val="thinThickThinSmallGap" w:color="auto" w:sz="24" w:space="1"/>
          <w:right w:val="thinThickThinSmallGap" w:color="auto" w:sz="24" w:space="4"/>
        </w:pBd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</w:p>
    <w:p w14:paraId="0000000F">
      <w:pPr>
        <w:pBdr>
          <w:top w:val="thinThickThinSmallGap" w:color="auto" w:sz="24" w:space="1"/>
          <w:left w:val="thinThickThinSmallGap" w:color="auto" w:sz="24" w:space="4"/>
          <w:bottom w:val="thinThickThinSmallGap" w:color="auto" w:sz="24" w:space="1"/>
          <w:right w:val="thinThickThinSmallGap" w:color="auto" w:sz="24" w:space="4"/>
        </w:pBd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ИНФОРМАЦИОННЫЙ БЮЛЛЕТЕНЬ</w:t>
      </w:r>
    </w:p>
    <w:p w14:paraId="00000010">
      <w:pPr>
        <w:pBdr>
          <w:top w:val="thinThickThinSmallGap" w:color="auto" w:sz="24" w:space="1"/>
          <w:left w:val="thinThickThinSmallGap" w:color="auto" w:sz="24" w:space="4"/>
          <w:bottom w:val="thinThickThinSmallGap" w:color="auto" w:sz="24" w:space="1"/>
          <w:right w:val="thinThickThinSmallGap" w:color="auto" w:sz="24" w:space="4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Берсеневского сельского поселения</w:t>
      </w:r>
    </w:p>
    <w:p w14:paraId="00000011">
      <w:pPr>
        <w:pBdr>
          <w:top w:val="thinThickThinSmallGap" w:color="auto" w:sz="24" w:space="1"/>
          <w:left w:val="thinThickThinSmallGap" w:color="auto" w:sz="24" w:space="4"/>
          <w:bottom w:val="thinThickThinSmallGap" w:color="auto" w:sz="24" w:space="1"/>
          <w:right w:val="thinThickThinSmallGap" w:color="auto" w:sz="24" w:space="4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Лямбирского муниципального района </w:t>
      </w:r>
    </w:p>
    <w:p w14:paraId="00000012">
      <w:pPr>
        <w:pBdr>
          <w:top w:val="thinThickThinSmallGap" w:color="auto" w:sz="24" w:space="1"/>
          <w:left w:val="thinThickThinSmallGap" w:color="auto" w:sz="24" w:space="4"/>
          <w:bottom w:val="thinThickThinSmallGap" w:color="auto" w:sz="24" w:space="1"/>
          <w:right w:val="thinThickThinSmallGap" w:color="auto" w:sz="24" w:space="4"/>
        </w:pBdr>
        <w:jc w:val="center"/>
        <w:rPr>
          <w:b/>
          <w:sz w:val="28"/>
          <w:szCs w:val="28"/>
        </w:rPr>
      </w:pPr>
      <w:r>
        <w:rPr>
          <w:b/>
          <w:sz w:val="32"/>
          <w:szCs w:val="32"/>
        </w:rPr>
        <w:t>Республики Мордовия</w:t>
      </w:r>
    </w:p>
    <w:p w14:paraId="00000013">
      <w:pPr>
        <w:pBdr>
          <w:top w:val="thinThickThinSmallGap" w:color="auto" w:sz="24" w:space="1"/>
          <w:left w:val="thinThickThinSmallGap" w:color="auto" w:sz="24" w:space="4"/>
          <w:bottom w:val="thinThickThinSmallGap" w:color="auto" w:sz="24" w:space="1"/>
          <w:right w:val="thinThickThinSmallGap" w:color="auto" w:sz="24" w:space="4"/>
        </w:pBdr>
        <w:rPr>
          <w:sz w:val="28"/>
          <w:szCs w:val="28"/>
        </w:rPr>
      </w:pPr>
    </w:p>
    <w:p w14:paraId="00000014">
      <w:pPr>
        <w:pBdr>
          <w:top w:val="thinThickThinSmallGap" w:color="auto" w:sz="24" w:space="1"/>
          <w:left w:val="thinThickThinSmallGap" w:color="auto" w:sz="24" w:space="4"/>
          <w:bottom w:val="thinThickThinSmallGap" w:color="auto" w:sz="24" w:space="1"/>
          <w:right w:val="thinThickThinSmallGap" w:color="auto" w:sz="24" w:space="4"/>
        </w:pBdr>
        <w:rPr>
          <w:sz w:val="28"/>
          <w:szCs w:val="28"/>
        </w:rPr>
      </w:pPr>
    </w:p>
    <w:p w14:paraId="00000015">
      <w:pPr>
        <w:pBdr>
          <w:top w:val="thinThickThinSmallGap" w:color="auto" w:sz="24" w:space="1"/>
          <w:left w:val="thinThickThinSmallGap" w:color="auto" w:sz="24" w:space="4"/>
          <w:bottom w:val="thinThickThinSmallGap" w:color="auto" w:sz="24" w:space="1"/>
          <w:right w:val="thinThickThinSmallGap" w:color="auto" w:sz="24" w:space="4"/>
        </w:pBdr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14:paraId="00000016">
      <w:pPr>
        <w:pBdr>
          <w:top w:val="thinThickThinSmallGap" w:color="auto" w:sz="24" w:space="1"/>
          <w:left w:val="thinThickThinSmallGap" w:color="auto" w:sz="24" w:space="4"/>
          <w:bottom w:val="thinThickThinSmallGap" w:color="auto" w:sz="24" w:space="1"/>
          <w:right w:val="thinThickThinSmallGap" w:color="auto" w:sz="24" w:space="4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25</w:t>
      </w:r>
      <w:r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марта</w:t>
      </w:r>
      <w:r>
        <w:rPr>
          <w:b/>
          <w:sz w:val="32"/>
          <w:szCs w:val="32"/>
        </w:rPr>
        <w:t xml:space="preserve"> 202</w:t>
      </w:r>
      <w:r>
        <w:rPr>
          <w:b/>
          <w:sz w:val="32"/>
          <w:szCs w:val="32"/>
        </w:rPr>
        <w:t>4</w:t>
      </w:r>
      <w:r>
        <w:rPr>
          <w:b/>
          <w:sz w:val="32"/>
          <w:szCs w:val="32"/>
        </w:rPr>
        <w:t xml:space="preserve"> года                                                                 № 7</w:t>
      </w:r>
    </w:p>
    <w:p w14:paraId="00000017">
      <w:pPr>
        <w:pBdr>
          <w:top w:val="thinThickThinSmallGap" w:color="auto" w:sz="24" w:space="1"/>
          <w:left w:val="thinThickThinSmallGap" w:color="auto" w:sz="24" w:space="4"/>
          <w:bottom w:val="thinThickThinSmallGap" w:color="auto" w:sz="24" w:space="1"/>
          <w:right w:val="thinThickThinSmallGap" w:color="auto" w:sz="24" w:space="4"/>
        </w:pBdr>
        <w:rPr>
          <w:b/>
          <w:sz w:val="28"/>
          <w:szCs w:val="28"/>
        </w:rPr>
      </w:pPr>
    </w:p>
    <w:p w14:paraId="00000018">
      <w:pPr>
        <w:pBdr>
          <w:top w:val="thinThickThinSmallGap" w:color="auto" w:sz="24" w:space="1"/>
          <w:left w:val="thinThickThinSmallGap" w:color="auto" w:sz="24" w:space="4"/>
          <w:bottom w:val="thinThickThinSmallGap" w:color="auto" w:sz="24" w:space="1"/>
          <w:right w:val="thinThickThinSmallGap" w:color="auto" w:sz="24" w:space="4"/>
        </w:pBdr>
        <w:rPr>
          <w:b/>
          <w:sz w:val="28"/>
          <w:szCs w:val="28"/>
        </w:rPr>
      </w:pPr>
    </w:p>
    <w:p w14:paraId="00000019">
      <w:pPr>
        <w:pBdr>
          <w:top w:val="thinThickThinSmallGap" w:color="auto" w:sz="24" w:space="1"/>
          <w:left w:val="thinThickThinSmallGap" w:color="auto" w:sz="24" w:space="4"/>
          <w:bottom w:val="thinThickThinSmallGap" w:color="auto" w:sz="24" w:space="1"/>
          <w:right w:val="thinThickThinSmallGap" w:color="auto" w:sz="24" w:space="4"/>
        </w:pBdr>
        <w:rPr>
          <w:b/>
          <w:sz w:val="28"/>
          <w:szCs w:val="28"/>
        </w:rPr>
      </w:pPr>
    </w:p>
    <w:p w14:paraId="0000001A">
      <w:pPr>
        <w:pBdr>
          <w:top w:val="thinThickThinSmallGap" w:color="auto" w:sz="24" w:space="1"/>
          <w:left w:val="thinThickThinSmallGap" w:color="auto" w:sz="24" w:space="4"/>
          <w:bottom w:val="thinThickThinSmallGap" w:color="auto" w:sz="24" w:space="1"/>
          <w:right w:val="thinThickThinSmallGap" w:color="auto" w:sz="24" w:space="4"/>
        </w:pBdr>
        <w:rPr>
          <w:b/>
          <w:sz w:val="28"/>
          <w:szCs w:val="28"/>
        </w:rPr>
      </w:pPr>
    </w:p>
    <w:p w14:paraId="0000001B">
      <w:pPr>
        <w:pBdr>
          <w:top w:val="thinThickThinSmallGap" w:color="auto" w:sz="24" w:space="1"/>
          <w:left w:val="thinThickThinSmallGap" w:color="auto" w:sz="24" w:space="4"/>
          <w:bottom w:val="thinThickThinSmallGap" w:color="auto" w:sz="24" w:space="1"/>
          <w:right w:val="thinThickThinSmallGap" w:color="auto" w:sz="24" w:space="4"/>
        </w:pBdr>
        <w:rPr>
          <w:b/>
          <w:sz w:val="28"/>
          <w:szCs w:val="28"/>
        </w:rPr>
      </w:pPr>
    </w:p>
    <w:p w14:paraId="0000001C">
      <w:pPr>
        <w:pBdr>
          <w:top w:val="thinThickThinSmallGap" w:color="auto" w:sz="24" w:space="1"/>
          <w:left w:val="thinThickThinSmallGap" w:color="auto" w:sz="24" w:space="4"/>
          <w:bottom w:val="thinThickThinSmallGap" w:color="auto" w:sz="24" w:space="1"/>
          <w:right w:val="thinThickThinSmallGap" w:color="auto" w:sz="24" w:space="4"/>
        </w:pBdr>
        <w:rPr>
          <w:b/>
          <w:sz w:val="28"/>
          <w:szCs w:val="28"/>
        </w:rPr>
      </w:pPr>
    </w:p>
    <w:p w14:paraId="0000001D">
      <w:pPr>
        <w:pBdr>
          <w:top w:val="thinThickThinSmallGap" w:color="auto" w:sz="24" w:space="1"/>
          <w:left w:val="thinThickThinSmallGap" w:color="auto" w:sz="24" w:space="4"/>
          <w:bottom w:val="thinThickThinSmallGap" w:color="auto" w:sz="24" w:space="1"/>
          <w:right w:val="thinThickThinSmallGap" w:color="auto" w:sz="24" w:space="4"/>
        </w:pBdr>
        <w:rPr>
          <w:b/>
          <w:sz w:val="28"/>
          <w:szCs w:val="28"/>
        </w:rPr>
      </w:pPr>
    </w:p>
    <w:p w14:paraId="0000001E">
      <w:pPr>
        <w:pBdr>
          <w:top w:val="thinThickThinSmallGap" w:color="auto" w:sz="24" w:space="1"/>
          <w:left w:val="thinThickThinSmallGap" w:color="auto" w:sz="24" w:space="4"/>
          <w:bottom w:val="thinThickThinSmallGap" w:color="auto" w:sz="24" w:space="1"/>
          <w:right w:val="thinThickThinSmallGap" w:color="auto" w:sz="24" w:space="4"/>
        </w:pBdr>
        <w:rPr>
          <w:b/>
          <w:sz w:val="28"/>
          <w:szCs w:val="28"/>
        </w:rPr>
      </w:pPr>
    </w:p>
    <w:p w14:paraId="0000001F">
      <w:pPr>
        <w:pBdr>
          <w:top w:val="thinThickThinSmallGap" w:color="auto" w:sz="24" w:space="1"/>
          <w:left w:val="thinThickThinSmallGap" w:color="auto" w:sz="24" w:space="4"/>
          <w:bottom w:val="thinThickThinSmallGap" w:color="auto" w:sz="24" w:space="1"/>
          <w:right w:val="thinThickThinSmallGap" w:color="auto" w:sz="24" w:space="4"/>
        </w:pBdr>
        <w:rPr>
          <w:b/>
          <w:sz w:val="28"/>
          <w:szCs w:val="28"/>
        </w:rPr>
      </w:pPr>
    </w:p>
    <w:p w14:paraId="00000020">
      <w:pPr>
        <w:pBdr>
          <w:top w:val="thinThickThinSmallGap" w:color="auto" w:sz="24" w:space="1"/>
          <w:left w:val="thinThickThinSmallGap" w:color="auto" w:sz="24" w:space="4"/>
          <w:bottom w:val="thinThickThinSmallGap" w:color="auto" w:sz="24" w:space="1"/>
          <w:right w:val="thinThickThinSmallGap" w:color="auto" w:sz="24" w:space="4"/>
        </w:pBdr>
        <w:rPr>
          <w:b/>
          <w:sz w:val="28"/>
          <w:szCs w:val="28"/>
        </w:rPr>
      </w:pPr>
    </w:p>
    <w:p w14:paraId="00000021">
      <w:pPr>
        <w:pBdr>
          <w:top w:val="thinThickThinSmallGap" w:color="auto" w:sz="24" w:space="1"/>
          <w:left w:val="thinThickThinSmallGap" w:color="auto" w:sz="24" w:space="4"/>
          <w:bottom w:val="thinThickThinSmallGap" w:color="auto" w:sz="24" w:space="1"/>
          <w:right w:val="thinThickThinSmallGap" w:color="auto" w:sz="24" w:space="4"/>
        </w:pBdr>
        <w:rPr>
          <w:sz w:val="28"/>
          <w:szCs w:val="28"/>
        </w:rPr>
      </w:pPr>
    </w:p>
    <w:p w14:paraId="00000022">
      <w:pPr>
        <w:pBdr>
          <w:top w:val="thinThickThinSmallGap" w:color="auto" w:sz="24" w:space="1"/>
          <w:left w:val="thinThickThinSmallGap" w:color="auto" w:sz="24" w:space="4"/>
          <w:bottom w:val="thinThickThinSmallGap" w:color="auto" w:sz="24" w:space="1"/>
          <w:right w:val="thinThickThinSmallGap" w:color="auto" w:sz="24" w:space="4"/>
        </w:pBdr>
        <w:rPr>
          <w:sz w:val="28"/>
          <w:szCs w:val="28"/>
        </w:rPr>
      </w:pPr>
    </w:p>
    <w:p w14:paraId="00000023">
      <w:pPr>
        <w:pBdr>
          <w:top w:val="thinThickThinSmallGap" w:color="auto" w:sz="24" w:space="1"/>
          <w:left w:val="thinThickThinSmallGap" w:color="auto" w:sz="24" w:space="4"/>
          <w:bottom w:val="thinThickThinSmallGap" w:color="auto" w:sz="24" w:space="1"/>
          <w:right w:val="thinThickThinSmallGap" w:color="auto" w:sz="24" w:space="4"/>
        </w:pBdr>
        <w:rPr>
          <w:sz w:val="28"/>
          <w:szCs w:val="28"/>
        </w:rPr>
      </w:pPr>
    </w:p>
    <w:p w14:paraId="00000024">
      <w:pPr>
        <w:pBdr>
          <w:top w:val="thinThickThinSmallGap" w:color="auto" w:sz="24" w:space="1"/>
          <w:left w:val="thinThickThinSmallGap" w:color="auto" w:sz="24" w:space="4"/>
          <w:bottom w:val="thinThickThinSmallGap" w:color="auto" w:sz="24" w:space="1"/>
          <w:right w:val="thinThickThinSmallGap" w:color="auto" w:sz="24" w:space="4"/>
        </w:pBdr>
        <w:rPr>
          <w:sz w:val="28"/>
          <w:szCs w:val="28"/>
        </w:rPr>
      </w:pPr>
    </w:p>
    <w:p w14:paraId="00000025">
      <w:pPr>
        <w:pBdr>
          <w:top w:val="thinThickThinSmallGap" w:color="auto" w:sz="24" w:space="1"/>
          <w:left w:val="thinThickThinSmallGap" w:color="auto" w:sz="24" w:space="4"/>
          <w:bottom w:val="thinThickThinSmallGap" w:color="auto" w:sz="24" w:space="1"/>
          <w:right w:val="thinThickThinSmallGap" w:color="auto" w:sz="24" w:space="4"/>
        </w:pBdr>
        <w:rPr>
          <w:sz w:val="28"/>
          <w:szCs w:val="28"/>
        </w:rPr>
      </w:pPr>
    </w:p>
    <w:p w14:paraId="00000026">
      <w:pPr>
        <w:pBdr>
          <w:top w:val="thinThickThinSmallGap" w:color="auto" w:sz="24" w:space="1"/>
          <w:left w:val="thinThickThinSmallGap" w:color="auto" w:sz="24" w:space="4"/>
          <w:bottom w:val="thinThickThinSmallGap" w:color="auto" w:sz="24" w:space="1"/>
          <w:right w:val="thinThickThinSmallGap" w:color="auto" w:sz="24" w:space="4"/>
        </w:pBdr>
        <w:rPr>
          <w:sz w:val="28"/>
          <w:szCs w:val="28"/>
        </w:rPr>
      </w:pPr>
    </w:p>
    <w:p w14:paraId="00000027">
      <w:pPr>
        <w:pBdr>
          <w:top w:val="thinThickThinSmallGap" w:color="auto" w:sz="24" w:space="1"/>
          <w:left w:val="thinThickThinSmallGap" w:color="auto" w:sz="24" w:space="4"/>
          <w:bottom w:val="thinThickThinSmallGap" w:color="auto" w:sz="24" w:space="1"/>
          <w:right w:val="thinThickThinSmallGap" w:color="auto" w:sz="24" w:space="4"/>
        </w:pBdr>
        <w:rPr>
          <w:sz w:val="28"/>
          <w:szCs w:val="28"/>
        </w:rPr>
      </w:pPr>
    </w:p>
    <w:p w14:paraId="00000028">
      <w:pPr>
        <w:pBdr>
          <w:top w:val="thinThickThinSmallGap" w:color="auto" w:sz="24" w:space="1"/>
          <w:left w:val="thinThickThinSmallGap" w:color="auto" w:sz="24" w:space="4"/>
          <w:bottom w:val="thinThickThinSmallGap" w:color="auto" w:sz="24" w:space="1"/>
          <w:right w:val="thinThickThinSmallGap" w:color="auto" w:sz="24" w:space="4"/>
        </w:pBdr>
        <w:rPr>
          <w:sz w:val="28"/>
          <w:szCs w:val="28"/>
        </w:rPr>
      </w:pPr>
    </w:p>
    <w:p w14:paraId="00000029">
      <w:pPr>
        <w:pBdr>
          <w:top w:val="thinThickThinSmallGap" w:color="auto" w:sz="24" w:space="1"/>
          <w:left w:val="thinThickThinSmallGap" w:color="auto" w:sz="24" w:space="4"/>
          <w:bottom w:val="thinThickThinSmallGap" w:color="auto" w:sz="24" w:space="1"/>
          <w:right w:val="thinThickThinSmallGap" w:color="auto" w:sz="24" w:space="4"/>
        </w:pBdr>
        <w:rPr>
          <w:sz w:val="28"/>
          <w:szCs w:val="28"/>
        </w:rPr>
      </w:pPr>
    </w:p>
    <w:p w14:paraId="0000002A">
      <w:pPr>
        <w:pBdr>
          <w:top w:val="thinThickThinSmallGap" w:color="auto" w:sz="24" w:space="1"/>
          <w:left w:val="thinThickThinSmallGap" w:color="auto" w:sz="24" w:space="4"/>
          <w:bottom w:val="thinThickThinSmallGap" w:color="auto" w:sz="24" w:space="1"/>
          <w:right w:val="thinThickThinSmallGap" w:color="auto" w:sz="24" w:space="4"/>
        </w:pBdr>
        <w:rPr>
          <w:sz w:val="28"/>
          <w:szCs w:val="28"/>
        </w:rPr>
      </w:pPr>
    </w:p>
    <w:p w14:paraId="0000002B">
      <w:pPr>
        <w:pBdr>
          <w:top w:val="thinThickThinSmallGap" w:color="auto" w:sz="24" w:space="1"/>
          <w:left w:val="thinThickThinSmallGap" w:color="auto" w:sz="24" w:space="4"/>
          <w:bottom w:val="thinThickThinSmallGap" w:color="auto" w:sz="24" w:space="1"/>
          <w:right w:val="thinThickThinSmallGap" w:color="auto" w:sz="24" w:space="4"/>
        </w:pBdr>
        <w:rPr>
          <w:sz w:val="28"/>
          <w:szCs w:val="28"/>
        </w:rPr>
      </w:pPr>
    </w:p>
    <w:p w14:paraId="0000002C">
      <w:pPr>
        <w:jc w:val="center"/>
        <w:rPr>
          <w:sz w:val="28"/>
          <w:szCs w:val="28"/>
        </w:rPr>
      </w:pPr>
    </w:p>
    <w:p w14:paraId="0000002D">
      <w:pPr>
        <w:jc w:val="center"/>
        <w:rPr>
          <w:sz w:val="28"/>
          <w:szCs w:val="28"/>
        </w:rPr>
      </w:pPr>
    </w:p>
    <w:p w14:paraId="0000002E">
      <w:pPr>
        <w:jc w:val="center"/>
        <w:rPr>
          <w:sz w:val="28"/>
          <w:szCs w:val="28"/>
        </w:rPr>
      </w:pPr>
    </w:p>
    <w:p w14:paraId="0000002F">
      <w:pPr>
        <w:jc w:val="center"/>
        <w:rPr>
          <w:sz w:val="28"/>
          <w:szCs w:val="28"/>
        </w:rPr>
      </w:pPr>
    </w:p>
    <w:p w14:paraId="00000030">
      <w:pPr>
        <w:jc w:val="center"/>
        <w:rPr>
          <w:sz w:val="28"/>
          <w:szCs w:val="28"/>
        </w:rPr>
      </w:pPr>
    </w:p>
    <w:p w14:paraId="00000031">
      <w:pPr>
        <w:jc w:val="center"/>
        <w:rPr>
          <w:sz w:val="28"/>
          <w:szCs w:val="28"/>
        </w:rPr>
      </w:pPr>
      <w:r>
        <w:rPr>
          <w:sz w:val="28"/>
          <w:szCs w:val="28"/>
        </w:rPr>
        <w:t>Информационный бюллетень</w:t>
      </w:r>
    </w:p>
    <w:p w14:paraId="00000032">
      <w:pPr>
        <w:jc w:val="center"/>
        <w:rPr>
          <w:sz w:val="28"/>
          <w:szCs w:val="28"/>
        </w:rPr>
      </w:pPr>
      <w:r>
        <w:rPr>
          <w:sz w:val="28"/>
          <w:szCs w:val="28"/>
        </w:rPr>
        <w:t>Берсеневского сельского поселения</w:t>
      </w:r>
    </w:p>
    <w:p w14:paraId="00000033">
      <w:pPr>
        <w:jc w:val="center"/>
        <w:rPr>
          <w:sz w:val="28"/>
          <w:szCs w:val="28"/>
        </w:rPr>
      </w:pPr>
      <w:r>
        <w:rPr>
          <w:sz w:val="28"/>
          <w:szCs w:val="28"/>
        </w:rPr>
        <w:t>Лямбирского муниципального района</w:t>
      </w:r>
    </w:p>
    <w:p w14:paraId="00000034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14:paraId="00000035">
      <w:pPr>
        <w:jc w:val="center"/>
        <w:rPr>
          <w:sz w:val="28"/>
          <w:szCs w:val="28"/>
        </w:rPr>
      </w:pPr>
    </w:p>
    <w:p w14:paraId="00000036">
      <w:r>
        <w:t>Является официальным печатным</w:t>
      </w:r>
    </w:p>
    <w:p w14:paraId="00000037">
      <w:r>
        <w:t>изданием Берсеневского сельского поселения</w:t>
      </w:r>
    </w:p>
    <w:p w14:paraId="00000038">
      <w:pPr>
        <w:rPr>
          <w:sz w:val="28"/>
          <w:szCs w:val="28"/>
        </w:rPr>
      </w:pPr>
      <w:r>
        <w:t>Лямбирского муниципального района РМ.</w:t>
      </w:r>
      <w:r>
        <w:rPr>
          <w:sz w:val="28"/>
          <w:szCs w:val="28"/>
        </w:rPr>
        <w:t xml:space="preserve"> </w:t>
      </w:r>
    </w:p>
    <w:p w14:paraId="00000039">
      <w:r>
        <w:t>Основан</w:t>
      </w:r>
      <w:r>
        <w:t xml:space="preserve"> в ноябре 2005 года.</w:t>
      </w:r>
    </w:p>
    <w:p w14:paraId="0000003A"/>
    <w:p w14:paraId="0000003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 О Д Е </w:t>
      </w:r>
      <w:r>
        <w:rPr>
          <w:b/>
          <w:sz w:val="28"/>
          <w:szCs w:val="28"/>
        </w:rPr>
        <w:t>Р</w:t>
      </w:r>
      <w:r>
        <w:rPr>
          <w:b/>
          <w:sz w:val="28"/>
          <w:szCs w:val="28"/>
        </w:rPr>
        <w:t xml:space="preserve"> Ж А Н И Е:</w:t>
      </w:r>
    </w:p>
    <w:p w14:paraId="0000003C">
      <w:pPr>
        <w:jc w:val="center"/>
        <w:rPr>
          <w:sz w:val="28"/>
          <w:szCs w:val="28"/>
          <w:u w:val="single"/>
        </w:rPr>
      </w:pPr>
    </w:p>
    <w:p w14:paraId="0000003D">
      <w:pPr>
        <w:jc w:val="center"/>
        <w:rPr>
          <w:sz w:val="28"/>
          <w:szCs w:val="28"/>
          <w:u w:val="single"/>
        </w:rPr>
      </w:pPr>
    </w:p>
    <w:p w14:paraId="0000003E">
      <w:pPr>
        <w:rPr>
          <w:b/>
        </w:rPr>
      </w:pPr>
      <w:r>
        <w:rPr>
          <w:b/>
        </w:rPr>
        <w:t xml:space="preserve">                             </w:t>
      </w:r>
    </w:p>
    <w:p w14:paraId="0000003F">
      <w:pPr>
        <w:pStyle w:val="Normal"/>
        <w:shd w:val="clear" w:color="auto" w:fill="ffffff"/>
        <w:spacing w:before="150" w:after="150"/>
        <w:ind w:firstLine="709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Осторожно! Мошенники!</w:t>
      </w:r>
    </w:p>
    <w:p w14:paraId="00000040">
      <w:pPr>
        <w:pStyle w:val="Normal"/>
        <w:shd w:val="clear" w:color="auto" w:fill="ffffff"/>
        <w:spacing w:before="150" w:after="15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настоящее время одной из</w:t>
      </w:r>
      <w:r>
        <w:rPr>
          <w:color w:val="000000"/>
          <w:sz w:val="28"/>
          <w:szCs w:val="28"/>
        </w:rPr>
        <w:t xml:space="preserve"> распространенных схем </w:t>
      </w:r>
      <w:r>
        <w:rPr>
          <w:color w:val="000000"/>
          <w:sz w:val="28"/>
          <w:szCs w:val="28"/>
        </w:rPr>
        <w:t>мошенничества является использование данных для входа в личный кабинет сотового оператора.</w:t>
      </w:r>
    </w:p>
    <w:p w14:paraId="00000041">
      <w:pPr>
        <w:pStyle w:val="Normal"/>
        <w:shd w:val="clear" w:color="auto" w:fill="ffffff"/>
        <w:spacing w:before="150" w:after="15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Так</w:t>
      </w:r>
      <w:r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>неизвестное лицо по телефону</w:t>
      </w:r>
      <w:r>
        <w:rPr>
          <w:color w:val="000000"/>
          <w:sz w:val="28"/>
          <w:szCs w:val="28"/>
        </w:rPr>
        <w:t xml:space="preserve"> сообщает, что срок действия </w:t>
      </w:r>
      <w:r>
        <w:rPr>
          <w:color w:val="000000"/>
          <w:sz w:val="28"/>
          <w:szCs w:val="28"/>
        </w:rPr>
        <w:t xml:space="preserve">Вашей </w:t>
      </w:r>
      <w:r>
        <w:rPr>
          <w:color w:val="000000"/>
          <w:sz w:val="28"/>
          <w:szCs w:val="28"/>
        </w:rPr>
        <w:t xml:space="preserve">сим-карты или договора на предоставление услуг связи заканчивается. При этом в личном кабинете информация якобы не отображается, поэтому уведомление происходит в устной форме. После чего </w:t>
      </w:r>
      <w:r>
        <w:rPr>
          <w:color w:val="000000"/>
          <w:sz w:val="28"/>
          <w:szCs w:val="28"/>
        </w:rPr>
        <w:t xml:space="preserve">лицо пытается </w:t>
      </w:r>
      <w:r>
        <w:rPr>
          <w:color w:val="000000"/>
          <w:sz w:val="28"/>
          <w:szCs w:val="28"/>
        </w:rPr>
        <w:t xml:space="preserve">выманить конфиденциальные и учетные данные от </w:t>
      </w:r>
      <w:r>
        <w:rPr>
          <w:color w:val="000000"/>
          <w:sz w:val="28"/>
          <w:szCs w:val="28"/>
        </w:rPr>
        <w:t xml:space="preserve">Вашего </w:t>
      </w:r>
      <w:r>
        <w:rPr>
          <w:color w:val="000000"/>
          <w:sz w:val="28"/>
          <w:szCs w:val="28"/>
        </w:rPr>
        <w:t xml:space="preserve">личного кабинета абонента, а также одноразовые коды. </w:t>
      </w:r>
    </w:p>
    <w:p w14:paraId="00000042">
      <w:pPr>
        <w:pStyle w:val="Normal"/>
        <w:shd w:val="clear" w:color="auto" w:fill="ffffff"/>
        <w:spacing w:before="150" w:after="15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После их получения злоумышленник устанавливает</w:t>
      </w:r>
      <w:r>
        <w:rPr>
          <w:color w:val="000000"/>
          <w:sz w:val="28"/>
          <w:szCs w:val="28"/>
        </w:rPr>
        <w:t xml:space="preserve"> переадресацию смс на нужный </w:t>
      </w:r>
      <w:r>
        <w:rPr>
          <w:color w:val="000000"/>
          <w:sz w:val="28"/>
          <w:szCs w:val="28"/>
        </w:rPr>
        <w:t>ему</w:t>
      </w:r>
      <w:r>
        <w:rPr>
          <w:color w:val="000000"/>
          <w:sz w:val="28"/>
          <w:szCs w:val="28"/>
        </w:rPr>
        <w:t xml:space="preserve"> номер или </w:t>
      </w:r>
      <w:r>
        <w:rPr>
          <w:color w:val="000000"/>
          <w:sz w:val="28"/>
          <w:szCs w:val="28"/>
        </w:rPr>
        <w:t>выпускает</w:t>
      </w:r>
      <w:r>
        <w:rPr>
          <w:color w:val="000000"/>
          <w:sz w:val="28"/>
          <w:szCs w:val="28"/>
        </w:rPr>
        <w:t xml:space="preserve"> виртуальный дубликат сим-карты. </w:t>
      </w:r>
    </w:p>
    <w:p w14:paraId="00000043">
      <w:pPr>
        <w:pStyle w:val="Normal"/>
        <w:shd w:val="clear" w:color="auto" w:fill="ffffff"/>
        <w:spacing w:before="150" w:after="15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Таким образом, злоумышленни</w:t>
      </w:r>
      <w:r>
        <w:rPr>
          <w:color w:val="000000"/>
          <w:sz w:val="28"/>
          <w:szCs w:val="28"/>
        </w:rPr>
        <w:t>к</w:t>
      </w:r>
      <w:r>
        <w:rPr>
          <w:color w:val="000000"/>
          <w:sz w:val="28"/>
          <w:szCs w:val="28"/>
        </w:rPr>
        <w:t xml:space="preserve"> смо</w:t>
      </w:r>
      <w:r>
        <w:rPr>
          <w:color w:val="000000"/>
          <w:sz w:val="28"/>
          <w:szCs w:val="28"/>
        </w:rPr>
        <w:t>жет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осуществить вход в 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Ваш </w:t>
      </w:r>
      <w:r>
        <w:rPr>
          <w:color w:val="000000"/>
          <w:sz w:val="28"/>
          <w:szCs w:val="28"/>
        </w:rPr>
        <w:t>личн</w:t>
      </w:r>
      <w:r>
        <w:rPr>
          <w:color w:val="000000"/>
          <w:sz w:val="28"/>
          <w:szCs w:val="28"/>
        </w:rPr>
        <w:t>ый кабинет</w:t>
      </w:r>
      <w:r>
        <w:rPr>
          <w:color w:val="000000"/>
          <w:sz w:val="28"/>
          <w:szCs w:val="28"/>
        </w:rPr>
        <w:t xml:space="preserve"> в сервисах, в том числе финансовых и информационных. Код из смс также позволяет войти на портал «Госуслуг».</w:t>
      </w:r>
    </w:p>
    <w:p w14:paraId="00000044">
      <w:pPr>
        <w:pStyle w:val="Normal"/>
        <w:shd w:val="clear" w:color="auto" w:fill="ffffff"/>
        <w:spacing w:before="150" w:after="150"/>
        <w:ind w:firstLine="709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Призываем граждан</w:t>
      </w:r>
      <w:r>
        <w:rPr>
          <w:b/>
          <w:color w:val="000000"/>
          <w:sz w:val="28"/>
          <w:szCs w:val="28"/>
        </w:rPr>
        <w:t xml:space="preserve"> </w:t>
      </w:r>
      <w:r>
        <w:rPr>
          <w:b/>
          <w:color w:val="000000"/>
          <w:sz w:val="28"/>
          <w:szCs w:val="28"/>
        </w:rPr>
        <w:t>быть бдительными!</w:t>
      </w:r>
      <w:r>
        <w:rPr>
          <w:b/>
          <w:color w:val="000000"/>
          <w:sz w:val="28"/>
          <w:szCs w:val="28"/>
        </w:rPr>
        <w:t xml:space="preserve"> </w:t>
      </w:r>
    </w:p>
    <w:p w14:paraId="00000045">
      <w:pPr>
        <w:pStyle w:val="Normal"/>
        <w:shd w:val="clear" w:color="auto" w:fill="ffffff"/>
        <w:spacing w:before="150" w:after="15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Если звонив</w:t>
      </w:r>
      <w:r>
        <w:rPr>
          <w:color w:val="000000"/>
          <w:sz w:val="28"/>
          <w:szCs w:val="28"/>
        </w:rPr>
        <w:t>ший сообщает В</w:t>
      </w:r>
      <w:r>
        <w:rPr>
          <w:color w:val="000000"/>
          <w:sz w:val="28"/>
          <w:szCs w:val="28"/>
        </w:rPr>
        <w:t>ам информацию следующего со</w:t>
      </w:r>
      <w:r>
        <w:rPr>
          <w:color w:val="000000"/>
          <w:sz w:val="28"/>
          <w:szCs w:val="28"/>
        </w:rPr>
        <w:t>держания, то это означает, что В</w:t>
      </w:r>
      <w:r>
        <w:rPr>
          <w:color w:val="000000"/>
          <w:sz w:val="28"/>
          <w:szCs w:val="28"/>
        </w:rPr>
        <w:t>ы общаетесь с мошенниками:</w:t>
      </w:r>
    </w:p>
    <w:p w14:paraId="00000046">
      <w:pPr>
        <w:pStyle w:val="Normal"/>
        <w:shd w:val="clear" w:color="auto" w:fill="ffffff"/>
        <w:spacing w:before="150" w:after="15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«</w:t>
      </w:r>
      <w:r>
        <w:rPr>
          <w:color w:val="000000"/>
          <w:sz w:val="28"/>
          <w:szCs w:val="28"/>
        </w:rPr>
        <w:t>Вам необходимо актуализировать свои персональные данные, иначе номер будет заблокирован. Сообщите код из смс</w:t>
      </w:r>
      <w:r>
        <w:rPr>
          <w:color w:val="000000"/>
          <w:sz w:val="28"/>
          <w:szCs w:val="28"/>
        </w:rPr>
        <w:t>»;</w:t>
      </w:r>
    </w:p>
    <w:p w14:paraId="00000047">
      <w:pPr>
        <w:pStyle w:val="Normal"/>
        <w:shd w:val="clear" w:color="auto" w:fill="ffffff"/>
        <w:spacing w:before="150" w:after="15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«Срок действия В</w:t>
      </w:r>
      <w:r>
        <w:rPr>
          <w:color w:val="000000"/>
          <w:sz w:val="28"/>
          <w:szCs w:val="28"/>
        </w:rPr>
        <w:t>ашего договора или сим-карты заканчивает</w:t>
      </w:r>
      <w:r>
        <w:rPr>
          <w:color w:val="000000"/>
          <w:sz w:val="28"/>
          <w:szCs w:val="28"/>
        </w:rPr>
        <w:t>ся и его нужно продлить, иначе В</w:t>
      </w:r>
      <w:r>
        <w:rPr>
          <w:color w:val="000000"/>
          <w:sz w:val="28"/>
          <w:szCs w:val="28"/>
        </w:rPr>
        <w:t>ы останетесь без связи. Сообщите код из смс, либо введите кома</w:t>
      </w:r>
      <w:r>
        <w:rPr>
          <w:color w:val="000000"/>
          <w:sz w:val="28"/>
          <w:szCs w:val="28"/>
        </w:rPr>
        <w:t>нду, которую я сейчас продиктую»;</w:t>
      </w:r>
    </w:p>
    <w:p w14:paraId="00000048">
      <w:pPr>
        <w:pStyle w:val="Normal"/>
        <w:shd w:val="clear" w:color="auto" w:fill="ffffff"/>
        <w:spacing w:before="150" w:after="15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«</w:t>
      </w:r>
      <w:r>
        <w:rPr>
          <w:color w:val="000000"/>
          <w:sz w:val="28"/>
          <w:szCs w:val="28"/>
        </w:rPr>
        <w:t>Ваш личный кабинет взломан либо произо</w:t>
      </w:r>
      <w:r>
        <w:rPr>
          <w:color w:val="000000"/>
          <w:sz w:val="28"/>
          <w:szCs w:val="28"/>
        </w:rPr>
        <w:t xml:space="preserve">шла утечка персональных данных. </w:t>
      </w:r>
      <w:r>
        <w:rPr>
          <w:color w:val="000000"/>
          <w:sz w:val="28"/>
          <w:szCs w:val="28"/>
        </w:rPr>
        <w:t>От вашего имени обратились с доверенностью и пытаются переоформить номер на третье лицо. Чтобы не поте</w:t>
      </w:r>
      <w:r>
        <w:rPr>
          <w:color w:val="000000"/>
          <w:sz w:val="28"/>
          <w:szCs w:val="28"/>
        </w:rPr>
        <w:t>рять номер, назовите код из смс».</w:t>
      </w:r>
    </w:p>
    <w:p w14:paraId="00000049">
      <w:pPr>
        <w:pStyle w:val="Normal"/>
        <w:shd w:val="clear" w:color="auto" w:fill="ffffff"/>
        <w:spacing w:before="150" w:after="15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При поступлении телефонного звонка от имени сотового оператора необходимо прервать разговор! </w:t>
      </w:r>
    </w:p>
    <w:p w14:paraId="0000004A">
      <w:pPr>
        <w:pStyle w:val="Normal"/>
        <w:shd w:val="clear" w:color="auto" w:fill="ffffff"/>
        <w:spacing w:before="150" w:after="15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Нельзя отправлять/ называть собеседнику отправленные на телефон коды и пароли из смс!</w:t>
      </w:r>
    </w:p>
    <w:p w14:paraId="0000004B">
      <w:pPr>
        <w:pStyle w:val="Normal"/>
        <w:shd w:val="clear" w:color="auto" w:fill="ffffff"/>
        <w:spacing w:before="150" w:after="15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 любым вопросам, касающимся сотовой связи, необходимо обратиться в службу поддержки сотового оператора или лично прийти в офис компании.</w:t>
      </w:r>
    </w:p>
    <w:p w14:paraId="0000004C">
      <w:pPr>
        <w:pStyle w:val="Normal"/>
        <w:shd w:val="clear" w:color="auto" w:fill="ffffff"/>
        <w:spacing w:before="150" w:after="150"/>
        <w:ind w:firstLine="709"/>
        <w:jc w:val="both"/>
        <w:rPr>
          <w:sz w:val="28"/>
          <w:szCs w:val="28"/>
        </w:rPr>
      </w:pPr>
    </w:p>
    <w:p w14:paraId="0000004D">
      <w:pPr>
        <w:pStyle w:val="Normal"/>
        <w:tabs>
          <w:tab w:val="left" w:leader="none" w:pos="265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Прокуратура района</w:t>
      </w:r>
    </w:p>
    <w:p w14:paraId="0000004E">
      <w:pPr>
        <w:pStyle w:val="ListParagraph"/>
        <w:ind w:left="720" w:right="0" w:firstLine="0"/>
        <w:rPr>
          <w:sz w:val="32"/>
          <w:szCs w:val="32"/>
          <w:u w:val="single"/>
        </w:rPr>
      </w:pPr>
    </w:p>
    <w:p w14:paraId="0000004F">
      <w:pPr>
        <w:rPr>
          <w:sz w:val="32"/>
          <w:szCs w:val="32"/>
          <w:u w:val="single"/>
        </w:rPr>
      </w:pPr>
    </w:p>
    <w:p w14:paraId="00000050">
      <w:pPr>
        <w:rPr>
          <w:sz w:val="32"/>
          <w:szCs w:val="32"/>
          <w:u w:val="single"/>
        </w:rPr>
      </w:pPr>
    </w:p>
    <w:p w14:paraId="00000051">
      <w:pPr>
        <w:rPr>
          <w:sz w:val="32"/>
          <w:szCs w:val="32"/>
          <w:u w:val="single"/>
        </w:rPr>
      </w:pPr>
    </w:p>
    <w:p w14:paraId="00000052">
      <w:pPr>
        <w:rPr>
          <w:sz w:val="32"/>
          <w:szCs w:val="32"/>
          <w:u w:val="single"/>
        </w:rPr>
      </w:pPr>
    </w:p>
    <w:p w14:paraId="00000053">
      <w:pPr>
        <w:rPr>
          <w:sz w:val="32"/>
          <w:szCs w:val="32"/>
          <w:u w:val="single"/>
        </w:rPr>
      </w:pPr>
    </w:p>
    <w:p w14:paraId="00000054">
      <w:pPr>
        <w:rPr>
          <w:sz w:val="32"/>
          <w:szCs w:val="32"/>
          <w:u w:val="single"/>
        </w:rPr>
      </w:pPr>
    </w:p>
    <w:p w14:paraId="00000055">
      <w:pPr>
        <w:rPr>
          <w:sz w:val="32"/>
          <w:szCs w:val="32"/>
          <w:u w:val="single"/>
        </w:rPr>
      </w:pPr>
    </w:p>
    <w:p w14:paraId="00000056">
      <w:pPr>
        <w:rPr>
          <w:sz w:val="32"/>
          <w:szCs w:val="32"/>
          <w:u w:val="single"/>
        </w:rPr>
      </w:pPr>
    </w:p>
    <w:p w14:paraId="00000057">
      <w:pPr>
        <w:rPr>
          <w:sz w:val="32"/>
          <w:szCs w:val="32"/>
          <w:u w:val="single"/>
        </w:rPr>
      </w:pPr>
    </w:p>
    <w:p w14:paraId="00000058">
      <w:pPr>
        <w:rPr>
          <w:sz w:val="32"/>
          <w:szCs w:val="32"/>
          <w:u w:val="single"/>
        </w:rPr>
      </w:pPr>
    </w:p>
    <w:p w14:paraId="00000059">
      <w:pPr>
        <w:rPr>
          <w:sz w:val="32"/>
          <w:szCs w:val="32"/>
          <w:u w:val="single"/>
        </w:rPr>
      </w:pPr>
    </w:p>
    <w:p w14:paraId="0000005A">
      <w:pPr>
        <w:rPr>
          <w:sz w:val="32"/>
          <w:szCs w:val="32"/>
          <w:u w:val="single"/>
        </w:rPr>
      </w:pPr>
    </w:p>
    <w:p w14:paraId="0000005B">
      <w:pPr>
        <w:rPr>
          <w:sz w:val="32"/>
          <w:szCs w:val="32"/>
          <w:u w:val="single"/>
        </w:rPr>
      </w:pPr>
    </w:p>
    <w:p w14:paraId="0000005C">
      <w:pPr>
        <w:rPr>
          <w:sz w:val="32"/>
          <w:szCs w:val="32"/>
          <w:u w:val="single"/>
        </w:rPr>
      </w:pPr>
    </w:p>
    <w:p w14:paraId="0000005D">
      <w:pPr>
        <w:rPr>
          <w:sz w:val="32"/>
          <w:szCs w:val="32"/>
          <w:u w:val="single"/>
        </w:rPr>
      </w:pPr>
    </w:p>
    <w:p w14:paraId="0000005E">
      <w:pPr>
        <w:rPr>
          <w:sz w:val="32"/>
          <w:szCs w:val="32"/>
          <w:u w:val="single"/>
        </w:rPr>
      </w:pPr>
    </w:p>
    <w:p w14:paraId="0000005F">
      <w:pPr>
        <w:rPr>
          <w:sz w:val="32"/>
          <w:szCs w:val="32"/>
          <w:u w:val="single"/>
        </w:rPr>
      </w:pPr>
    </w:p>
    <w:p w14:paraId="00000060">
      <w:pPr>
        <w:rPr>
          <w:sz w:val="32"/>
          <w:szCs w:val="32"/>
          <w:u w:val="single"/>
        </w:rPr>
      </w:pPr>
    </w:p>
    <w:p w14:paraId="00000061">
      <w:pPr>
        <w:rPr>
          <w:sz w:val="32"/>
          <w:szCs w:val="32"/>
          <w:u w:val="single"/>
        </w:rPr>
      </w:pPr>
    </w:p>
    <w:p w14:paraId="00000062">
      <w:pPr>
        <w:rPr>
          <w:sz w:val="32"/>
          <w:szCs w:val="32"/>
          <w:u w:val="single"/>
        </w:rPr>
      </w:pPr>
    </w:p>
    <w:p w14:paraId="00000063">
      <w:pPr>
        <w:rPr>
          <w:sz w:val="32"/>
          <w:szCs w:val="32"/>
          <w:u w:val="single"/>
        </w:rPr>
      </w:pPr>
    </w:p>
    <w:p w14:paraId="00000064">
      <w:pPr>
        <w:rPr>
          <w:sz w:val="32"/>
          <w:szCs w:val="32"/>
          <w:u w:val="single"/>
        </w:rPr>
      </w:pPr>
    </w:p>
    <w:p w14:paraId="00000065">
      <w:pPr>
        <w:rPr>
          <w:sz w:val="32"/>
          <w:szCs w:val="32"/>
          <w:u w:val="single"/>
        </w:rPr>
      </w:pPr>
    </w:p>
    <w:p w14:paraId="00000066">
      <w:pPr>
        <w:rPr>
          <w:sz w:val="32"/>
          <w:szCs w:val="32"/>
          <w:u w:val="single"/>
        </w:rPr>
      </w:pPr>
    </w:p>
    <w:p w14:paraId="00000067">
      <w:pPr>
        <w:rPr>
          <w:sz w:val="32"/>
          <w:szCs w:val="32"/>
          <w:u w:val="single"/>
        </w:rPr>
      </w:pPr>
    </w:p>
    <w:p w14:paraId="00000068">
      <w:pPr>
        <w:rPr>
          <w:sz w:val="32"/>
          <w:szCs w:val="32"/>
          <w:u w:val="single"/>
        </w:rPr>
      </w:pPr>
    </w:p>
    <w:p w14:paraId="00000069">
      <w:pPr>
        <w:rPr>
          <w:sz w:val="32"/>
          <w:szCs w:val="32"/>
          <w:u w:val="single"/>
        </w:rPr>
      </w:pPr>
    </w:p>
    <w:p w14:paraId="0000006A">
      <w:pPr>
        <w:rPr>
          <w:sz w:val="32"/>
          <w:szCs w:val="32"/>
          <w:u w:val="single"/>
        </w:rPr>
      </w:pPr>
    </w:p>
    <w:p w14:paraId="0000006B">
      <w:pPr>
        <w:rPr>
          <w:sz w:val="32"/>
          <w:szCs w:val="32"/>
          <w:u w:val="single"/>
        </w:rPr>
      </w:pPr>
    </w:p>
    <w:p w14:paraId="0000006C">
      <w:pPr>
        <w:rPr>
          <w:sz w:val="32"/>
          <w:szCs w:val="32"/>
          <w:u w:val="single"/>
        </w:rPr>
      </w:pPr>
    </w:p>
    <w:p w14:paraId="0000006D">
      <w:pPr>
        <w:rPr>
          <w:sz w:val="32"/>
          <w:szCs w:val="32"/>
          <w:u w:val="single"/>
        </w:rPr>
      </w:pPr>
    </w:p>
    <w:p w14:paraId="0000006E">
      <w:pPr>
        <w:rPr>
          <w:sz w:val="32"/>
          <w:szCs w:val="32"/>
          <w:u w:val="single"/>
        </w:rPr>
      </w:pPr>
    </w:p>
    <w:p w14:paraId="0000006F">
      <w:pPr>
        <w:rPr>
          <w:sz w:val="32"/>
          <w:szCs w:val="32"/>
          <w:u w:val="single"/>
        </w:rPr>
      </w:pPr>
    </w:p>
    <w:p w14:paraId="00000070">
      <w:pPr>
        <w:rPr>
          <w:sz w:val="32"/>
          <w:szCs w:val="32"/>
          <w:u w:val="single"/>
        </w:rPr>
      </w:pPr>
    </w:p>
    <w:p w14:paraId="00000071">
      <w:pPr>
        <w:rPr>
          <w:sz w:val="32"/>
          <w:szCs w:val="32"/>
          <w:u w:val="single"/>
        </w:rPr>
      </w:pPr>
    </w:p>
    <w:p w14:paraId="00000072">
      <w:pPr>
        <w:rPr>
          <w:sz w:val="32"/>
          <w:szCs w:val="32"/>
          <w:u w:val="single"/>
        </w:rPr>
      </w:pPr>
    </w:p>
    <w:p w14:paraId="00000073">
      <w:pPr>
        <w:rPr>
          <w:sz w:val="32"/>
          <w:szCs w:val="32"/>
          <w:u w:val="single"/>
        </w:rPr>
      </w:pPr>
    </w:p>
    <w:p w14:paraId="00000074">
      <w:pPr>
        <w:jc w:val="center"/>
        <w:rPr>
          <w:sz w:val="28"/>
          <w:szCs w:val="28"/>
        </w:rPr>
      </w:pPr>
      <w:r>
        <w:rPr>
          <w:sz w:val="32"/>
          <w:szCs w:val="32"/>
          <w:u w:val="single"/>
        </w:rPr>
        <w:t>Список получателей Информационного бюллетеня:</w:t>
      </w:r>
    </w:p>
    <w:p w14:paraId="00000075">
      <w:pPr>
        <w:jc w:val="center"/>
        <w:rPr>
          <w:sz w:val="32"/>
          <w:szCs w:val="32"/>
          <w:u w:val="single"/>
        </w:rPr>
      </w:pPr>
    </w:p>
    <w:p w14:paraId="00000076">
      <w:pPr>
        <w:jc w:val="center"/>
        <w:rPr>
          <w:sz w:val="32"/>
          <w:szCs w:val="32"/>
        </w:rPr>
      </w:pPr>
    </w:p>
    <w:p w14:paraId="00000077">
      <w:pPr>
        <w:rPr>
          <w:sz w:val="32"/>
          <w:szCs w:val="32"/>
        </w:rPr>
      </w:pPr>
      <w:r>
        <w:rPr>
          <w:sz w:val="32"/>
          <w:szCs w:val="32"/>
        </w:rPr>
        <w:t>1. Администрация Берсеневского сельского поселения – 1экз.</w:t>
      </w:r>
    </w:p>
    <w:p w14:paraId="00000078">
      <w:pPr>
        <w:rPr>
          <w:sz w:val="32"/>
          <w:szCs w:val="32"/>
        </w:rPr>
      </w:pPr>
    </w:p>
    <w:p w14:paraId="00000079">
      <w:pPr>
        <w:rPr>
          <w:sz w:val="32"/>
          <w:szCs w:val="32"/>
        </w:rPr>
      </w:pPr>
      <w:r>
        <w:rPr>
          <w:sz w:val="32"/>
          <w:szCs w:val="32"/>
        </w:rPr>
        <w:t xml:space="preserve">2. </w:t>
      </w:r>
      <w:r>
        <w:rPr>
          <w:sz w:val="32"/>
          <w:szCs w:val="32"/>
        </w:rPr>
        <w:t>Берсеневская</w:t>
      </w:r>
      <w:r>
        <w:rPr>
          <w:sz w:val="32"/>
          <w:szCs w:val="32"/>
        </w:rPr>
        <w:t xml:space="preserve"> сельская библиотека – 1экз.</w:t>
      </w:r>
    </w:p>
    <w:p w14:paraId="0000007A">
      <w:pPr>
        <w:rPr>
          <w:sz w:val="32"/>
          <w:szCs w:val="32"/>
        </w:rPr>
      </w:pPr>
    </w:p>
    <w:p w14:paraId="0000007B">
      <w:pPr>
        <w:rPr>
          <w:sz w:val="32"/>
          <w:szCs w:val="32"/>
        </w:rPr>
      </w:pPr>
      <w:r>
        <w:rPr>
          <w:sz w:val="32"/>
          <w:szCs w:val="32"/>
        </w:rPr>
        <w:t>3.Прокуратура Лямбирского района -1 экз.</w:t>
      </w:r>
    </w:p>
    <w:p w14:paraId="0000007C">
      <w:pPr>
        <w:rPr>
          <w:sz w:val="32"/>
          <w:szCs w:val="32"/>
          <w:u w:val="single"/>
        </w:rPr>
      </w:pPr>
    </w:p>
    <w:p w14:paraId="0000007D">
      <w:pPr>
        <w:rPr>
          <w:sz w:val="32"/>
          <w:szCs w:val="32"/>
          <w:u w:val="single"/>
        </w:rPr>
      </w:pPr>
    </w:p>
    <w:p w14:paraId="0000007E">
      <w:pPr>
        <w:rPr>
          <w:sz w:val="32"/>
          <w:szCs w:val="32"/>
          <w:u w:val="single"/>
        </w:rPr>
      </w:pPr>
    </w:p>
    <w:p w14:paraId="0000007F">
      <w:pPr>
        <w:rPr>
          <w:sz w:val="32"/>
          <w:szCs w:val="32"/>
          <w:u w:val="single"/>
        </w:rPr>
      </w:pPr>
    </w:p>
    <w:p w14:paraId="00000080">
      <w:pPr>
        <w:rPr>
          <w:sz w:val="32"/>
          <w:szCs w:val="32"/>
          <w:u w:val="single"/>
        </w:rPr>
      </w:pPr>
    </w:p>
    <w:p w14:paraId="00000081"/>
    <w:p w14:paraId="00000082"/>
    <w:p w14:paraId="00000083"/>
    <w:p w14:paraId="00000084"/>
    <w:sectPr>
      <w:pgSz w:w="11907" w:h="16839"/>
      <w:pgMar w:top="567" w:right="567" w:bottom="567" w:left="1134" w:header="397" w:footer="397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00000000" w:usb1="00000000" w:usb2="00000009" w:usb3="00000000" w:csb0="000001ff" w:csb1="00000000"/>
  </w:font>
  <w:font w:name="Calibri">
    <w:panose1 w:val="020f0502020204030204"/>
    <w:charset w:val="cc"/>
    <w:family w:val="swiss"/>
    <w:pitch w:val="variable"/>
    <w:sig w:usb0="00000000" w:usb1="00000000" w:usb2="00000009" w:usb3="00000000" w:csb0="000001ff" w:csb1="00000000"/>
  </w:font>
  <w:font w:name="Cambria">
    <w:panose1 w:val="02040503050406030204"/>
    <w:charset w:val="cc"/>
    <w:family w:val="roman"/>
    <w:pitch w:val="variable"/>
    <w:sig w:usb0="00000000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roman"/>
    <w:pitch w:val="variable"/>
    <w:sig w:usb0="61002a87" w:usb1="80000000" w:usb2="00000008" w:usb3="00000000" w:csb0="000001ff" w:csb1="00000000"/>
  </w:font>
  <w:font w:name="Verdana">
    <w:panose1 w:val="020b0604030504040204"/>
    <w:charset w:val="00"/>
    <w:family w:val="roman"/>
    <w:pitch w:val="variable"/>
    <w:sig w:usb0="a10006ff" w:usb1="4000205b" w:usb2="00000010" w:usb3="00000000" w:csb0="0000019f" w:csb1="00000000"/>
  </w:font>
  <w:font w:name="Symbol">
    <w:panose1 w:val="05050102010706020507"/>
    <w:charset w:val="02"/>
    <w:family w:val="roman"/>
    <w:notTrueType w:val="on"/>
    <w:pitch w:val="variable"/>
  </w:font>
  <w:font w:name="Wingdings">
    <w:panose1 w:val="05000000000000000000"/>
    <w:charset w:val="02"/>
    <w:family w:val="auto"/>
    <w:notTrueType w:val="on"/>
    <w:pitch w:val="variable"/>
  </w:font>
  <w:font w:name="Helvetica Neue">
    <w:charset w:val="00"/>
    <w:family w:val="swiss"/>
    <w:pitch w:val="variable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ne="http://schemas.microsoft.com/office/word/2006/wordml" xmlns:w14="http://schemas.microsoft.com/office/word/2010/wordml" xmlns:w="http://schemas.openxmlformats.org/wordprocessingml/2006/main">
  <w:abstractNum w:abstractNumId="0">
    <w:multiLevelType w:val="hybridMultilevel"/>
    <w:lvl w:ilvl="0" w:tentative="0">
      <w:start w:val="1"/>
      <w:numFmt w:val="decimal"/>
      <w:lvlText w:val="%1."/>
      <w:lvlJc w:val="left"/>
      <w:pPr>
        <w:ind w:left="720" w:hanging="360"/>
      </w:pPr>
      <w:rPr>
        <w:b/>
        <w:sz w:val="24"/>
        <w:u w:val="none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51FA"/>
    <w:rsid w:val="000451FA"/>
    <w:rsid w:val="006E6388"/>
    <w:rsid w:val="007D17EA"/>
    <w:rsid w:val="007D6A25"/>
    <w:rsid w:val="009415AF"/>
    <w:rsid w:val="00AB3A71"/>
    <w:rsid w:val="00F15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:footnotePr/>
  <w:endnotePr/>
</w:settings>
</file>

<file path=word/styles.xml><?xml version="1.0" encoding="utf-8"?>
<w:styles xmlns:r="http://schemas.openxmlformats.org/officeDocument/2006/relationships" xmlns:w14="http://schemas.microsoft.com/office/word/2010/wordml" xmlns:w="http://schemas.openxmlformats.org/wordprocessingml/2006/main">
  <w:docDefaults>
    <w:rPrDefault>
      <w:rPr>
        <w:rFonts w:asciiTheme="minorHAnsi" w:cstheme="minorBidi" w:eastAsiaTheme="minorHAnsi" w:hAnsiTheme="minorHAnsi"/>
        <w:sz w:val="22"/>
        <w:szCs w:val="22"/>
        <w:lang w:val="ru-RU" w:bidi="ar-SA" w:eastAsia="en-US"/>
      </w:rPr>
    </w:rPrDefault>
    <w:pPrDefault>
      <w:pPr>
        <w:spacing w:after="200" w:line="276" w:lineRule="auto"/>
      </w:pPr>
    </w:pPrDefault>
  </w:docDefaults>
  <w:style w:type="paragraph" w:styleId="Heading1">
    <w:name w:val="Heading 1"/>
    <w:link w:val="Heading1Char"/>
    <w:uiPriority w:val="9"/>
    <w:qFormat w:val="on"/>
    <w:pPr>
      <w:keepNext w:val="on"/>
      <w:keepLines w:val="on"/>
      <w:spacing w:before="480" w:after="0"/>
    </w:pPr>
    <w:rPr>
      <w:rFonts w:asciiTheme="majorHAnsi" w:cstheme="majorBidi" w:eastAsiaTheme="majorEastAsia" w:hAnsiTheme="majorHAnsi"/>
      <w:b/>
      <w:bCs/>
      <w:color w:val="376091" w:themeColor="accent1" w:themeShade="bf"/>
      <w:sz w:val="28"/>
      <w:szCs w:val="28"/>
    </w:rPr>
  </w:style>
  <w:style w:type="paragraph" w:styleId="Heading2">
    <w:name w:val="Heading 2"/>
    <w:link w:val="Heading2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Heading3">
    <w:name w:val="Heading 3"/>
    <w:link w:val="Heading3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color w:val="4f81bd" w:themeColor="accent1"/>
    </w:rPr>
  </w:style>
  <w:style w:type="paragraph" w:styleId="Heading4">
    <w:name w:val="Heading 4"/>
    <w:link w:val="Heading4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i/>
      <w:iCs/>
      <w:color w:val="4f81bd" w:themeColor="accent1"/>
    </w:rPr>
  </w:style>
  <w:style w:type="paragraph" w:styleId="Heading5">
    <w:name w:val="Heading 5"/>
    <w:link w:val="Heading5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243f60" w:themeColor="accent1" w:themeShade="7f"/>
    </w:rPr>
  </w:style>
  <w:style w:type="paragraph" w:styleId="Heading6">
    <w:name w:val="Heading 6"/>
    <w:link w:val="Heading6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243f60" w:themeColor="accent1" w:themeShade="7f"/>
    </w:rPr>
  </w:style>
  <w:style w:type="paragraph" w:styleId="Heading7">
    <w:name w:val="Heading 7"/>
    <w:link w:val="Heading7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paragraph" w:styleId="Heading8">
    <w:name w:val="Heading 8"/>
    <w:link w:val="Heading8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paragraph" w:styleId="Heading9">
    <w:name w:val="Heading 9"/>
    <w:link w:val="Heading9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paragraph" w:styleId="NoSpacing">
    <w:name w:val="No Spacing"/>
    <w:uiPriority w:val="1"/>
    <w:qFormat w:val="on"/>
    <w:pPr>
      <w:spacing w:after="0" w:line="240" w:lineRule="auto"/>
    </w:pPr>
  </w:style>
  <w:style w:type="character" w:customStyle="1" w:styleId="Heading1Char">
    <w:name w:val="Heading 1 Char"/>
    <w:link w:val="Heading1"/>
    <w:uiPriority w:val="9"/>
    <w:rPr>
      <w:rFonts w:asciiTheme="majorHAnsi" w:cstheme="majorBidi" w:eastAsiaTheme="majorEastAsia" w:hAnsiTheme="majorHAnsi"/>
      <w:b/>
      <w:bCs/>
      <w:color w:val="376091" w:themeColor="accent1" w:themeShade="bf"/>
      <w:sz w:val="28"/>
      <w:szCs w:val="28"/>
    </w:rPr>
  </w:style>
  <w:style w:type="character" w:customStyle="1" w:styleId="Heading2Char">
    <w:name w:val="Heading 2 Char"/>
    <w:link w:val="Heading2"/>
    <w:uiPriority w:val="9"/>
    <w:rPr>
      <w:rFonts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link w:val="Heading3"/>
    <w:uiPriority w:val="9"/>
    <w:rPr>
      <w:rFonts w:asciiTheme="majorHAnsi" w:cstheme="majorBidi" w:eastAsiaTheme="majorEastAsia" w:hAnsiTheme="majorHAnsi"/>
      <w:b/>
      <w:bCs/>
      <w:color w:val="4f81bd" w:themeColor="accent1"/>
    </w:rPr>
  </w:style>
  <w:style w:type="character" w:customStyle="1" w:styleId="Heading4Char">
    <w:name w:val="Heading 4 Char"/>
    <w:link w:val="Heading4"/>
    <w:uiPriority w:val="9"/>
    <w:rPr>
      <w:rFonts w:asciiTheme="majorHAnsi" w:cstheme="majorBidi" w:eastAsiaTheme="majorEastAsia" w:hAnsiTheme="majorHAnsi"/>
      <w:b/>
      <w:bCs/>
      <w:i/>
      <w:iCs/>
      <w:color w:val="4f81bd" w:themeColor="accent1"/>
    </w:rPr>
  </w:style>
  <w:style w:type="character" w:customStyle="1" w:styleId="Heading5Char">
    <w:name w:val="Heading 5 Char"/>
    <w:link w:val="Heading5"/>
    <w:uiPriority w:val="9"/>
    <w:rPr>
      <w:rFonts w:asciiTheme="majorHAnsi" w:cstheme="majorBidi" w:eastAsiaTheme="majorEastAsia" w:hAnsiTheme="majorHAnsi"/>
      <w:color w:val="243f60" w:themeColor="accent1" w:themeShade="7f"/>
    </w:rPr>
  </w:style>
  <w:style w:type="character" w:customStyle="1" w:styleId="Heading6Char">
    <w:name w:val="Heading 6 Char"/>
    <w:link w:val="Heading6"/>
    <w:uiPriority w:val="9"/>
    <w:rPr>
      <w:rFonts w:asciiTheme="majorHAnsi" w:cstheme="majorBidi" w:eastAsiaTheme="majorEastAsia" w:hAnsiTheme="majorHAnsi"/>
      <w:i/>
      <w:iCs/>
      <w:color w:val="243f60" w:themeColor="accent1" w:themeShade="7f"/>
    </w:rPr>
  </w:style>
  <w:style w:type="character" w:customStyle="1" w:styleId="Heading7Char">
    <w:name w:val="Heading 7 Char"/>
    <w:link w:val="Heading7"/>
    <w:uiPriority w:val="9"/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character" w:customStyle="1" w:styleId="Heading8Char">
    <w:name w:val="Heading 8 Char"/>
    <w:link w:val="Heading8"/>
    <w:uiPriority w:val="9"/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character" w:customStyle="1" w:styleId="Heading9Char">
    <w:name w:val="Heading 9 Char"/>
    <w:link w:val="Heading9"/>
    <w:uiPriority w:val="9"/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paragraph" w:styleId="Title">
    <w:name w:val="Title"/>
    <w:link w:val="TitleChar"/>
    <w:uiPriority w:val="10"/>
    <w:qFormat w:val="on"/>
    <w:pPr>
      <w:pBdr>
        <w:bottom w:val="single" w:color="4f81bd" w:themeColor="accent1" w:sz="8" w:space="4"/>
      </w:pBdr>
      <w:spacing w:after="300" w:line="240" w:lineRule="auto"/>
      <w:contextualSpacing w:val="on"/>
    </w:pPr>
    <w:rPr>
      <w:rFonts w:asciiTheme="majorHAnsi" w:cstheme="majorBidi" w:eastAsiaTheme="majorEastAsia" w:hAnsiTheme="majorHAnsi"/>
      <w:color w:val="17375d" w:themeColor="text2" w:themeShade="bf"/>
      <w:spacing w:val="5"/>
      <w:sz w:val="52"/>
      <w:szCs w:val="52"/>
    </w:rPr>
  </w:style>
  <w:style w:type="character" w:customStyle="1" w:styleId="TitleChar">
    <w:name w:val="Title Char"/>
    <w:link w:val="Title"/>
    <w:uiPriority w:val="10"/>
    <w:rPr>
      <w:rFonts w:asciiTheme="majorHAnsi" w:cstheme="majorBidi" w:eastAsiaTheme="majorEastAsia" w:hAnsiTheme="majorHAnsi"/>
      <w:color w:val="17375d" w:themeColor="text2" w:themeShade="bf"/>
      <w:spacing w:val="5"/>
      <w:sz w:val="52"/>
      <w:szCs w:val="52"/>
    </w:rPr>
  </w:style>
  <w:style w:type="paragraph" w:styleId="Subtitle">
    <w:name w:val="Subtitle"/>
    <w:link w:val="SubtitleChar"/>
    <w:uiPriority w:val="11"/>
    <w:qFormat w:val="on"/>
    <w:pPr/>
    <w:rPr>
      <w:rFonts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rPr>
      <w:rFonts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SubtleEmphasis">
    <w:name w:val="Subtle Emphasis"/>
    <w:uiPriority w:val="19"/>
    <w:qFormat w:val="on"/>
    <w:rPr>
      <w:i/>
      <w:iCs/>
      <w:color w:val="808080" w:themeColor="text1" w:themeTint="7f"/>
    </w:rPr>
  </w:style>
  <w:style w:type="character" w:styleId="Emphasis">
    <w:name w:val="Emphasis"/>
    <w:uiPriority w:val="20"/>
    <w:qFormat w:val="on"/>
    <w:rPr>
      <w:i/>
      <w:iCs/>
    </w:rPr>
  </w:style>
  <w:style w:type="character" w:styleId="IntenseEmphasis">
    <w:name w:val="Intense Emphasis"/>
    <w:uiPriority w:val="21"/>
    <w:qFormat w:val="on"/>
    <w:rPr>
      <w:b/>
      <w:bCs/>
      <w:i/>
      <w:iCs/>
      <w:color w:val="4f81bd" w:themeColor="accent1"/>
    </w:rPr>
  </w:style>
  <w:style w:type="character" w:styleId="Strong">
    <w:name w:val="Strong"/>
    <w:uiPriority w:val="22"/>
    <w:qFormat w:val="on"/>
    <w:rPr>
      <w:b/>
      <w:bCs/>
    </w:rPr>
  </w:style>
  <w:style w:type="paragraph" w:styleId="Quote">
    <w:name w:val="Quote"/>
    <w:link w:val="QuoteChar"/>
    <w:uiPriority w:val="29"/>
    <w:qFormat w:val="on"/>
    <w:rPr>
      <w:i/>
      <w:iCs/>
      <w:color w:val="000000" w:themeColor="text1"/>
    </w:rPr>
  </w:style>
  <w:style w:type="character" w:customStyle="1" w:styleId="QuoteChar">
    <w:name w:val="Quote Char"/>
    <w:link w:val="Quote"/>
    <w:uiPriority w:val="29"/>
    <w:rPr>
      <w:i/>
      <w:iCs/>
      <w:color w:val="000000" w:themeColor="text1"/>
    </w:rPr>
  </w:style>
  <w:style w:type="paragraph" w:styleId="IntenseQuote">
    <w:name w:val="Intense Quote"/>
    <w:link w:val="IntenseQuoteChar"/>
    <w:uiPriority w:val="30"/>
    <w:qFormat w:val="on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link w:val="IntenseQuote"/>
    <w:uiPriority w:val="30"/>
    <w:rPr>
      <w:b/>
      <w:bCs/>
      <w:i/>
      <w:iCs/>
      <w:color w:val="4f81bd" w:themeColor="accent1"/>
    </w:rPr>
  </w:style>
  <w:style w:type="character" w:styleId="SubtleReference">
    <w:name w:val="Subtle Reference"/>
    <w:uiPriority w:val="31"/>
    <w:qFormat w:val="on"/>
    <w:rPr>
      <w:smallCaps/>
      <w:color w:val="c0504d" w:themeColor="accent2"/>
      <w:u w:val="single"/>
    </w:rPr>
  </w:style>
  <w:style w:type="character" w:styleId="IntenseReference">
    <w:name w:val="Intense Reference"/>
    <w:uiPriority w:val="32"/>
    <w:qFormat w:val="on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uiPriority w:val="33"/>
    <w:qFormat w:val="on"/>
    <w:rPr>
      <w:b/>
      <w:bCs/>
      <w:smallCaps/>
      <w:spacing w:val="5"/>
    </w:rPr>
  </w:style>
  <w:style w:type="paragraph" w:styleId="Footnotetext">
    <w:name w:val="Footnote text"/>
    <w:link w:val="FootnoteTextChar"/>
    <w:uiPriority w:val="99"/>
    <w:semiHidden w:val="on"/>
    <w:unhideWhenUsed w:val="on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 w:val="on"/>
    <w:rPr>
      <w:sz w:val="20"/>
      <w:szCs w:val="20"/>
    </w:rPr>
  </w:style>
  <w:style w:type="character" w:styleId="Footnotereference">
    <w:name w:val="Footnote reference"/>
    <w:uiPriority w:val="99"/>
    <w:semiHidden w:val="on"/>
    <w:unhideWhenUsed w:val="on"/>
    <w:rPr>
      <w:vertAlign w:val="superscript"/>
    </w:rPr>
  </w:style>
  <w:style w:type="paragraph" w:styleId="Endnotetext">
    <w:name w:val="Endnote text"/>
    <w:link w:val="EndnoteTextChar"/>
    <w:uiPriority w:val="99"/>
    <w:semiHidden w:val="on"/>
    <w:unhideWhenUsed w:val="on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 w:val="on"/>
    <w:rPr>
      <w:sz w:val="20"/>
      <w:szCs w:val="20"/>
    </w:rPr>
  </w:style>
  <w:style w:type="character" w:styleId="Endnotereference">
    <w:name w:val="Endnote reference"/>
    <w:uiPriority w:val="99"/>
    <w:semiHidden w:val="on"/>
    <w:unhideWhenUsed w:val="on"/>
    <w:rPr>
      <w:vertAlign w:val="superscript"/>
    </w:rPr>
  </w:style>
  <w:style w:type="character" w:styleId="Hyperlink">
    <w:name w:val="Hyperlink"/>
    <w:uiPriority w:val="99"/>
    <w:unhideWhenUsed w:val="on"/>
    <w:rPr>
      <w:color w:val="0000ff" w:themeColor="hyperlink"/>
      <w:u w:val="single"/>
    </w:rPr>
  </w:style>
  <w:style w:type="paragraph" w:styleId="PlainText">
    <w:name w:val="Plain Text"/>
    <w:link w:val="PlainTextChar"/>
    <w:uiPriority w:val="99"/>
    <w:semiHidden w:val="on"/>
    <w:unhideWhenUsed w:val="on"/>
    <w:pPr>
      <w:spacing w:after="0" w:line="240" w:lineRule="auto"/>
    </w:pPr>
    <w:rPr>
      <w:rFonts w:ascii="Courier New" w:cs="Courier New" w:hAnsi="Courier New"/>
      <w:sz w:val="21"/>
      <w:szCs w:val="21"/>
    </w:rPr>
  </w:style>
  <w:style w:type="character" w:customStyle="1" w:styleId="PlainTextChar">
    <w:name w:val="Plain Text Char"/>
    <w:link w:val="PlainText"/>
    <w:uiPriority w:val="99"/>
    <w:rPr>
      <w:rFonts w:ascii="Courier New" w:cs="Courier New" w:hAnsi="Courier New"/>
      <w:sz w:val="21"/>
      <w:szCs w:val="21"/>
    </w:rPr>
  </w:style>
  <w:style w:type="paragraph" w:styleId="Header">
    <w:name w:val="Header"/>
    <w:link w:val="HeaderChar"/>
    <w:uiPriority w:val="99"/>
    <w:unhideWhenUsed w:val="on"/>
    <w:pPr>
      <w:spacing w:after="0" w:line="240" w:lineRule="auto"/>
    </w:pPr>
  </w:style>
  <w:style w:type="character" w:customStyle="1" w:styleId="HeaderChar">
    <w:name w:val="Header Char"/>
    <w:link w:val="Header"/>
    <w:uiPriority w:val="99"/>
  </w:style>
  <w:style w:type="paragraph" w:styleId="Footer">
    <w:name w:val="Footer"/>
    <w:link w:val="FooterChar"/>
    <w:uiPriority w:val="99"/>
    <w:unhideWhenUsed w:val="on"/>
    <w:pPr>
      <w:spacing w:after="0" w:line="240" w:lineRule="auto"/>
    </w:pPr>
  </w:style>
  <w:style w:type="character" w:customStyle="1" w:styleId="FooterChar">
    <w:name w:val="Footer Char"/>
    <w:link w:val="Footer"/>
    <w:uiPriority w:val="99"/>
  </w:style>
  <w:style w:type="paragraph" w:styleId="Caption">
    <w:name w:val="Caption"/>
    <w:uiPriority w:val="35"/>
    <w:unhideWhenUsed w:val="on"/>
    <w:qFormat w:val="on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default="1" w:styleId="Normal">
    <w:name w:val="Normal"/>
    <w:uiPriority w:val="99"/>
    <w:qFormat w:val="on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 w:val="on"/>
    <w:unhideWhenUsed w:val="on"/>
  </w:style>
  <w:style w:type="table" w:default="1" w:styleId="NormalTable">
    <w:name w:val="Normal Table"/>
    <w:uiPriority w:val="99"/>
    <w:semiHidden w:val="on"/>
    <w:unhideWhenUsed w:val="on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 w:val="on"/>
    <w:unhideWhenUsed w:val="on"/>
  </w:style>
  <w:style w:type="paragraph" w:styleId="ListParagraph">
    <w:name w:val="List Paragraph"/>
    <w:basedOn w:val="Normal"/>
    <w:uiPriority w:val="34"/>
    <w:qFormat w:val="on"/>
    <w:pPr>
      <w:ind w:left="720"/>
      <w:contextualSpacing w:val="on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63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E63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4" Type="http://schemas.openxmlformats.org/officeDocument/2006/relationships/settings" Target="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3" Type="http://schemas.microsoft.com/office/2007/relationships/stylesWithEffects" Target="stylesWithEffects.xml"/><Relationship Id="rId5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Arab" typeface="Times New Roman"/>
        <a:font script="Beng" typeface="Vrind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Times New Roman"/>
        <a:font script="Knda" typeface="Tunga"/>
        <a:font script="Khmr" typeface="MoolBoran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ゴシック"/>
      </a:majorFont>
      <a:minorFont>
        <a:latin typeface="Calibri"/>
        <a:ea typeface=""/>
        <a:cs typeface=""/>
        <a:font script="Arab" typeface="Arial"/>
        <a:font script="Beng" typeface="Vrind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Arial"/>
        <a:font script="Knda" typeface="Tunga"/>
        <a:font script="Khmr" typeface="DaunPenh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明朝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127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Наталья</cp:lastModifiedBy>
</cp:coreProperties>
</file>