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5">
      <w:pPr>
        <w:pStyle w:val="Heading1"/>
        <w:rPr/>
      </w:pPr>
    </w:p>
    <w:p w14:paraId="00000006">
      <w:pPr>
        <w:jc w:val="right"/>
        <w:rPr/>
      </w:pPr>
    </w:p>
    <w:p w14:paraId="00000007">
      <w:pPr>
        <w:jc w:val="right"/>
        <w:rPr/>
      </w:pPr>
      <w:r>
        <w:t xml:space="preserve">Приложение к решению </w:t>
      </w:r>
    </w:p>
    <w:p w14:paraId="00000008">
      <w:pPr>
        <w:jc w:val="right"/>
        <w:rPr/>
      </w:pPr>
      <w:r>
        <w:t xml:space="preserve">Совета депутатов </w:t>
      </w:r>
    </w:p>
    <w:p w14:paraId="00000009">
      <w:pPr>
        <w:jc w:val="right"/>
        <w:rPr/>
      </w:pPr>
      <w:r>
        <w:t xml:space="preserve"> </w:t>
      </w:r>
      <w:r>
        <w:t>Берсеневского</w:t>
      </w:r>
      <w:r>
        <w:t xml:space="preserve"> сельского поселения</w:t>
      </w:r>
    </w:p>
    <w:p w14:paraId="0000000A">
      <w:pPr>
        <w:jc w:val="right"/>
        <w:rPr/>
      </w:pPr>
      <w:r>
        <w:t>Лямбирского</w:t>
      </w:r>
      <w:r>
        <w:t xml:space="preserve"> муниципального района</w:t>
      </w:r>
    </w:p>
    <w:p w14:paraId="0000000B">
      <w:pPr>
        <w:jc w:val="right"/>
        <w:rPr/>
      </w:pPr>
      <w:r>
        <w:t>Республики Мордовия</w:t>
      </w:r>
    </w:p>
    <w:p w14:paraId="0000000C">
      <w:pPr>
        <w:jc w:val="right"/>
        <w:rPr/>
      </w:pPr>
      <w:r>
        <w:t xml:space="preserve">от </w:t>
      </w:r>
      <w:r>
        <w:t>17.07.</w:t>
      </w:r>
      <w:r>
        <w:t xml:space="preserve"> 202</w:t>
      </w:r>
      <w:r>
        <w:t>4</w:t>
      </w:r>
      <w:r>
        <w:t>г.</w:t>
      </w:r>
      <w:r>
        <w:t xml:space="preserve"> </w:t>
      </w:r>
      <w:r>
        <w:t xml:space="preserve"> </w:t>
      </w:r>
      <w:r>
        <w:t>№ 119</w:t>
      </w:r>
    </w:p>
    <w:p w14:paraId="0000000D">
      <w:pPr>
        <w:jc w:val="right"/>
        <w:rPr>
          <w:b/>
          <w:bCs/>
          <w:caps/>
          <w:color w:val="943634"/>
        </w:rPr>
      </w:pPr>
    </w:p>
    <w:p w14:paraId="0000000E">
      <w:pPr>
        <w:ind w:firstLine="0"/>
        <w:jc w:val="center"/>
        <w:rPr>
          <w:b/>
          <w:bCs/>
          <w:caps/>
          <w:color w:val="c0504d"/>
        </w:rPr>
      </w:pPr>
    </w:p>
    <w:p w14:paraId="0000000F">
      <w:pPr>
        <w:ind w:firstLine="0"/>
        <w:jc w:val="center"/>
        <w:rPr>
          <w:b/>
          <w:bCs/>
          <w:caps/>
          <w:color w:val="c0504d"/>
        </w:rPr>
      </w:pPr>
    </w:p>
    <w:p w14:paraId="00000010">
      <w:pPr>
        <w:ind w:firstLine="0"/>
        <w:jc w:val="center"/>
        <w:rPr>
          <w:b/>
          <w:bCs/>
          <w:caps/>
          <w:color w:val="c0504d"/>
        </w:rPr>
      </w:pPr>
    </w:p>
    <w:p w14:paraId="00000011">
      <w:pPr>
        <w:ind w:firstLine="0"/>
        <w:jc w:val="center"/>
        <w:rPr>
          <w:b/>
          <w:bCs/>
          <w:caps/>
          <w:color w:val="c0504d"/>
        </w:rPr>
      </w:pPr>
    </w:p>
    <w:p w14:paraId="00000012">
      <w:pPr>
        <w:ind w:firstLine="0"/>
        <w:jc w:val="center"/>
        <w:rPr>
          <w:b/>
          <w:bCs/>
          <w:caps/>
          <w:color w:val="c0504d"/>
        </w:rPr>
      </w:pPr>
    </w:p>
    <w:p w14:paraId="00000013">
      <w:pPr>
        <w:ind w:firstLine="0"/>
        <w:jc w:val="center"/>
        <w:rPr>
          <w:b/>
          <w:bCs/>
          <w:caps/>
          <w:color w:val="c0504d"/>
        </w:rPr>
      </w:pPr>
    </w:p>
    <w:p w14:paraId="00000014">
      <w:pPr>
        <w:ind w:firstLine="0"/>
        <w:jc w:val="center"/>
        <w:rPr>
          <w:b/>
          <w:bCs/>
          <w:caps/>
          <w:color w:val="c0504d"/>
        </w:rPr>
      </w:pPr>
    </w:p>
    <w:p w14:paraId="00000015">
      <w:pPr>
        <w:ind w:firstLine="0"/>
        <w:jc w:val="center"/>
        <w:rPr>
          <w:b/>
          <w:bCs/>
          <w:caps/>
          <w:color w:val="c0504d"/>
        </w:rPr>
      </w:pPr>
    </w:p>
    <w:p w14:paraId="00000016">
      <w:pPr>
        <w:ind w:firstLine="0"/>
        <w:jc w:val="center"/>
        <w:rPr>
          <w:b/>
          <w:bCs/>
          <w:caps/>
          <w:color w:val="c0504d"/>
        </w:rPr>
      </w:pPr>
    </w:p>
    <w:p w14:paraId="00000017">
      <w:pPr>
        <w:ind w:firstLine="0"/>
        <w:jc w:val="center"/>
        <w:rPr>
          <w:b/>
          <w:bCs/>
          <w:caps/>
          <w:color w:val="c0504d"/>
        </w:rPr>
      </w:pPr>
    </w:p>
    <w:p w14:paraId="00000018">
      <w:pPr>
        <w:ind w:firstLine="0"/>
        <w:jc w:val="center"/>
        <w:rPr>
          <w:b/>
          <w:bCs/>
          <w:caps/>
          <w:color w:val="c0504d"/>
        </w:rPr>
      </w:pPr>
    </w:p>
    <w:p w14:paraId="00000019">
      <w:pPr>
        <w:ind w:firstLine="0"/>
        <w:jc w:val="center"/>
        <w:rPr>
          <w:b/>
          <w:bCs/>
          <w:caps/>
          <w:color w:val="c0504d"/>
        </w:rPr>
      </w:pPr>
    </w:p>
    <w:p w14:paraId="0000001A">
      <w:pPr>
        <w:ind w:firstLine="0"/>
        <w:jc w:val="center"/>
        <w:rPr>
          <w:b/>
          <w:bCs/>
          <w:caps/>
          <w:color w:val="c0504d"/>
        </w:rPr>
      </w:pPr>
    </w:p>
    <w:p w14:paraId="0000001B">
      <w:pPr>
        <w:ind w:firstLine="0"/>
        <w:jc w:val="center"/>
        <w:rPr>
          <w:b/>
          <w:bCs/>
          <w:caps/>
          <w:color w:val="c0504d"/>
        </w:rPr>
      </w:pPr>
    </w:p>
    <w:p w14:paraId="0000001C">
      <w:pPr>
        <w:ind w:firstLine="0"/>
        <w:jc w:val="center"/>
        <w:rPr>
          <w:b/>
          <w:bCs/>
          <w:caps/>
        </w:rPr>
      </w:pPr>
      <w:r>
        <w:rPr>
          <w:b/>
          <w:bCs/>
          <w:caps/>
        </w:rPr>
        <w:t>правила землепользования и застройки</w:t>
      </w:r>
      <w:r>
        <w:rPr>
          <w:b/>
          <w:bCs/>
          <w:caps/>
        </w:rPr>
        <w:t xml:space="preserve"> Берсеневского</w:t>
      </w:r>
      <w:r>
        <w:rPr>
          <w:b/>
          <w:bCs/>
          <w:caps/>
        </w:rPr>
        <w:t xml:space="preserve"> сельского поселения</w:t>
      </w:r>
    </w:p>
    <w:p w14:paraId="0000001D">
      <w:pPr>
        <w:ind w:firstLine="0"/>
        <w:jc w:val="center"/>
        <w:rPr>
          <w:b/>
          <w:bCs/>
          <w:caps/>
        </w:rPr>
      </w:pPr>
      <w:r>
        <w:rPr>
          <w:b/>
          <w:bCs/>
          <w:caps/>
        </w:rPr>
        <w:t>Лямбирского муниципального района</w:t>
      </w:r>
    </w:p>
    <w:p w14:paraId="0000001E">
      <w:pPr>
        <w:ind w:firstLine="0"/>
        <w:jc w:val="center"/>
        <w:rPr>
          <w:b/>
          <w:bCs/>
          <w:caps/>
        </w:rPr>
      </w:pPr>
      <w:r>
        <w:rPr>
          <w:b/>
          <w:bCs/>
          <w:caps/>
        </w:rPr>
        <w:t>Республики Мордовия</w:t>
      </w:r>
    </w:p>
    <w:p w14:paraId="0000001F">
      <w:pPr>
        <w:ind w:firstLine="0"/>
        <w:rPr>
          <w:b/>
          <w:bCs/>
          <w:color w:val="c0504d"/>
        </w:rPr>
      </w:pPr>
    </w:p>
    <w:p w14:paraId="00000020">
      <w:pPr>
        <w:ind w:firstLine="0"/>
        <w:rPr>
          <w:b/>
          <w:bCs/>
          <w:color w:val="c0504d"/>
        </w:rPr>
      </w:pPr>
    </w:p>
    <w:p w14:paraId="00000021">
      <w:pPr>
        <w:ind w:firstLine="0"/>
        <w:rPr>
          <w:b/>
          <w:bCs/>
          <w:color w:val="c0504d"/>
        </w:rPr>
      </w:pPr>
    </w:p>
    <w:p w14:paraId="00000022">
      <w:pPr>
        <w:ind w:firstLine="0"/>
        <w:rPr>
          <w:b/>
          <w:bCs/>
          <w:color w:val="c0504d"/>
        </w:rPr>
      </w:pPr>
    </w:p>
    <w:p w14:paraId="00000023">
      <w:pPr>
        <w:ind w:firstLine="0"/>
        <w:rPr>
          <w:b/>
          <w:bCs/>
          <w:color w:val="c0504d"/>
        </w:rPr>
      </w:pPr>
    </w:p>
    <w:p w14:paraId="00000024">
      <w:pPr>
        <w:shd w:val="clear" w:color="auto" w:fill="ffffff"/>
        <w:ind w:left="993" w:right="-1" w:firstLine="55"/>
        <w:rPr>
          <w:color w:val="c0504d"/>
        </w:rPr>
      </w:pPr>
    </w:p>
    <w:p w14:paraId="00000025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1</w:t>
      </w:r>
    </w:p>
    <w:p w14:paraId="00000026">
      <w:pPr>
        <w:jc w:val="center"/>
        <w:rPr>
          <w:sz w:val="28"/>
          <w:szCs w:val="32"/>
        </w:rPr>
      </w:pPr>
      <w:r>
        <w:rPr>
          <w:sz w:val="28"/>
          <w:szCs w:val="32"/>
        </w:rPr>
        <w:t>ПОРЯДОК ПРИМЕНЕНИЯ ПРАВИЛ ЗЕМЛЕПОЛЬЗОВАНИЯ И З</w:t>
      </w:r>
      <w:r>
        <w:rPr>
          <w:sz w:val="28"/>
          <w:szCs w:val="32"/>
        </w:rPr>
        <w:t>А</w:t>
      </w:r>
      <w:r>
        <w:rPr>
          <w:sz w:val="28"/>
          <w:szCs w:val="32"/>
        </w:rPr>
        <w:t>СТРОЙКИ И ВНЕСЕНИЯ ИЗМЕНЕНИЙ В НИХ</w:t>
      </w:r>
    </w:p>
    <w:p w14:paraId="00000027">
      <w:pPr>
        <w:shd w:val="clear" w:color="auto" w:fill="ffffff"/>
        <w:ind w:left="993" w:right="-1" w:firstLine="55"/>
        <w:rPr>
          <w:color w:val="c0504d"/>
        </w:rPr>
      </w:pPr>
    </w:p>
    <w:p w14:paraId="00000028">
      <w:pPr>
        <w:shd w:val="clear" w:color="auto" w:fill="ffffff"/>
        <w:ind w:left="993" w:right="-1" w:firstLine="55"/>
        <w:rPr>
          <w:color w:val="c0504d"/>
        </w:rPr>
      </w:pPr>
    </w:p>
    <w:p w14:paraId="00000029">
      <w:pPr>
        <w:shd w:val="clear" w:color="auto" w:fill="ffffff"/>
        <w:ind w:left="993" w:right="-1" w:firstLine="55"/>
        <w:rPr>
          <w:color w:val="c0504d"/>
        </w:rPr>
      </w:pPr>
    </w:p>
    <w:p w14:paraId="0000002A">
      <w:pPr>
        <w:shd w:val="clear" w:color="auto" w:fill="ffffff"/>
        <w:ind w:left="993" w:right="-1" w:firstLine="55"/>
        <w:rPr>
          <w:color w:val="c0504d"/>
        </w:rPr>
      </w:pPr>
    </w:p>
    <w:p w14:paraId="0000002B">
      <w:pPr>
        <w:shd w:val="clear" w:color="auto" w:fill="ffffff"/>
        <w:ind w:left="993" w:right="-1" w:firstLine="55"/>
        <w:rPr>
          <w:color w:val="c0504d"/>
        </w:rPr>
      </w:pPr>
    </w:p>
    <w:p w14:paraId="0000002C">
      <w:pPr>
        <w:shd w:val="clear" w:color="auto" w:fill="ffffff"/>
        <w:ind w:left="993" w:right="-1" w:firstLine="55"/>
        <w:rPr>
          <w:color w:val="c0504d"/>
        </w:rPr>
      </w:pPr>
    </w:p>
    <w:p w14:paraId="0000002D">
      <w:pPr>
        <w:shd w:val="clear" w:color="auto" w:fill="ffffff"/>
        <w:ind w:left="993" w:right="-1" w:firstLine="55"/>
        <w:rPr>
          <w:color w:val="c0504d"/>
        </w:rPr>
      </w:pPr>
    </w:p>
    <w:p w14:paraId="0000002E">
      <w:pPr>
        <w:shd w:val="clear" w:color="auto" w:fill="ffffff"/>
        <w:tabs>
          <w:tab w:val="left" w:pos="8334"/>
        </w:tabs>
        <w:spacing w:before="80"/>
        <w:rPr>
          <w:b/>
          <w:bCs/>
        </w:rPr>
      </w:pPr>
      <w:r>
        <w:rPr>
          <w:color w:val="c0504d"/>
        </w:rPr>
        <w:br w:type="page"/>
      </w:r>
    </w:p>
    <w:p w14:paraId="0000002F">
      <w:pPr>
        <w:pStyle w:val="TOCHeading"/>
        <w:ind w:left="284" w:hanging="284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Оглавление</w:t>
      </w:r>
    </w:p>
    <w:p w14:paraId="00000030">
      <w:pPr>
        <w:pStyle w:val="Toc1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r>
        <w:fldChar w:fldCharType="begin"/>
      </w:r>
      <w:r>
        <w:instrText xml:space="preserve">HYPERLINK \l "_Toc159317532" </w:instrText>
      </w:r>
      <w:r>
        <w:fldChar w:fldCharType="separate"/>
      </w:r>
      <w:r>
        <w:rPr>
          <w:rStyle w:val="Hyperlink"/>
          <w:b/>
        </w:rPr>
        <w:t>ЧАСТЬ 1</w:t>
      </w:r>
      <w:r>
        <w:tab/>
      </w:r>
      <w:r>
        <w:fldChar w:fldCharType="begin"/>
      </w:r>
      <w:r>
        <w:instrText xml:space="preserve"> PAGEREF _Toc159317532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0000031">
      <w:pPr>
        <w:pStyle w:val="Toc1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"_Toc159317533" </w:instrText>
      </w:r>
      <w:r>
        <w:fldChar w:fldCharType="separate"/>
      </w:r>
      <w:r>
        <w:rPr>
          <w:rStyle w:val="Hyperlink"/>
          <w:b/>
        </w:rPr>
        <w:t>ПОРЯДОК ПРИМЕНЕНИЯ ПРАВИЛ. ПОРЯДОК ВНЕСЕНИЯ ИЗМЕНЕНИЙ В ПРАВИЛА</w:t>
      </w:r>
      <w:r>
        <w:tab/>
      </w:r>
      <w:r>
        <w:fldChar w:fldCharType="begin"/>
      </w:r>
      <w:r>
        <w:instrText xml:space="preserve"> PAGEREF _Toc159317533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0000032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"_Toc159317534"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>Глава 1. Общие положения</w:t>
      </w:r>
      <w:r>
        <w:tab/>
      </w:r>
      <w:r>
        <w:fldChar w:fldCharType="begin"/>
      </w:r>
      <w:r>
        <w:instrText xml:space="preserve"> PAGEREF _Toc159317534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0000033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"_Toc159317535" </w:instrText>
      </w:r>
      <w:r>
        <w:fldChar w:fldCharType="separate"/>
      </w:r>
      <w:r>
        <w:rPr>
          <w:rStyle w:val="Hyperlink"/>
        </w:rPr>
        <w:t>Статья 1. Цели Правил</w:t>
      </w:r>
      <w:r>
        <w:tab/>
      </w:r>
      <w:r>
        <w:fldChar w:fldCharType="begin"/>
      </w:r>
      <w:r>
        <w:instrText xml:space="preserve"> PAGEREF _Toc159317535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0000034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"_Toc159317536" </w:instrText>
      </w:r>
      <w:r>
        <w:fldChar w:fldCharType="separate"/>
      </w:r>
      <w:r>
        <w:rPr>
          <w:rStyle w:val="Hyperlink"/>
        </w:rPr>
        <w:t>Статья 2. Область применения Правил</w:t>
      </w:r>
      <w:r>
        <w:tab/>
      </w:r>
      <w:r>
        <w:fldChar w:fldCharType="begin"/>
      </w:r>
      <w:r>
        <w:instrText xml:space="preserve"> PAGEREF _Toc159317536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0000035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"_Toc159317537" </w:instrText>
      </w:r>
      <w:r>
        <w:fldChar w:fldCharType="separate"/>
      </w:r>
      <w:r>
        <w:rPr>
          <w:rStyle w:val="Hyperlink"/>
        </w:rPr>
        <w:t>Статья 3. Общедоступность информации о землепользовании и застройке</w:t>
      </w:r>
      <w:r>
        <w:tab/>
      </w:r>
      <w:r>
        <w:fldChar w:fldCharType="begin"/>
      </w:r>
      <w:r>
        <w:instrText xml:space="preserve"> PAGEREF _Toc159317537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0000036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"_Toc159317538" </w:instrText>
      </w:r>
      <w:r>
        <w:fldChar w:fldCharType="separate"/>
      </w:r>
      <w:r>
        <w:rPr>
          <w:rStyle w:val="Hyperlink"/>
        </w:rPr>
        <w:t>Статья 4. Соотношение Правил с Генеральным планом муниципального образования и документацией по планировке территории</w:t>
      </w:r>
      <w:r>
        <w:tab/>
      </w:r>
      <w:r>
        <w:fldChar w:fldCharType="begin"/>
      </w:r>
      <w:r>
        <w:instrText xml:space="preserve"> PAGEREF _Toc159317538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00000037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"_Toc159317539" </w:instrText>
      </w:r>
      <w:r>
        <w:fldChar w:fldCharType="separate"/>
      </w:r>
      <w:r>
        <w:rPr>
          <w:rStyle w:val="Hyperlink"/>
        </w:rPr>
        <w:t>Статья 5. Действие Правил по отношению к ранее возникшим правам</w:t>
      </w:r>
      <w:r>
        <w:tab/>
      </w:r>
      <w:r>
        <w:fldChar w:fldCharType="begin"/>
      </w:r>
      <w:r>
        <w:instrText xml:space="preserve"> PAGEREF _Toc159317539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00000038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"_Toc159317540" </w:instrText>
      </w:r>
      <w:r>
        <w:fldChar w:fldCharType="separate"/>
      </w:r>
      <w:r>
        <w:rPr>
          <w:rStyle w:val="Hyperlink"/>
        </w:rPr>
        <w:t xml:space="preserve">Статья 6. Общие положения о градостроительном зонировании территории Берсеневского сельского поселения </w:t>
      </w:r>
      <w:r>
        <w:rPr>
          <w:rStyle w:val="Hyperlink"/>
          <w:rFonts w:eastAsia="Arial"/>
          <w:lang w:bidi="hi-IN" w:eastAsia="hi-IN"/>
        </w:rPr>
        <w:t>Лямбир</w:t>
      </w:r>
      <w:r>
        <w:rPr>
          <w:rStyle w:val="Hyperlink"/>
        </w:rPr>
        <w:t>ского района</w:t>
      </w:r>
      <w:r>
        <w:tab/>
      </w:r>
      <w:r>
        <w:fldChar w:fldCharType="begin"/>
      </w:r>
      <w:r>
        <w:instrText xml:space="preserve"> PAGEREF _Toc159317540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00000039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"_Toc159317541" </w:instrText>
      </w:r>
      <w:r>
        <w:fldChar w:fldCharType="separate"/>
      </w:r>
      <w:r>
        <w:rPr>
          <w:rStyle w:val="Hyperlink"/>
        </w:rPr>
        <w:t>Статья 7.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  <w:r>
        <w:tab/>
      </w:r>
      <w:r>
        <w:fldChar w:fldCharType="begin"/>
      </w:r>
      <w:r>
        <w:instrText xml:space="preserve"> PAGEREF _Toc159317541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3A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"_Toc159317542" </w:instrText>
      </w:r>
      <w:r>
        <w:fldChar w:fldCharType="separate"/>
      </w:r>
      <w:r>
        <w:rPr>
          <w:rStyle w:val="Hyperlink"/>
        </w:rPr>
        <w:t>Статья 8. Ответственность за нарушение правил.</w:t>
      </w:r>
      <w:r>
        <w:tab/>
      </w:r>
      <w:r>
        <w:fldChar w:fldCharType="begin"/>
      </w:r>
      <w:r>
        <w:instrText xml:space="preserve"> PAGEREF _Toc159317542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3B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"_Toc159317543"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>Глава 2. Положения о регулировании землепользования и застройки органами местного самоуправления</w:t>
      </w:r>
      <w:r>
        <w:tab/>
      </w:r>
      <w:r>
        <w:fldChar w:fldCharType="begin"/>
      </w:r>
      <w:r>
        <w:instrText xml:space="preserve"> PAGEREF _Toc159317543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3C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"_Toc159317544" </w:instrText>
      </w:r>
      <w:r>
        <w:fldChar w:fldCharType="separate"/>
      </w:r>
      <w:r>
        <w:rPr>
          <w:rStyle w:val="Hyperlink"/>
        </w:rPr>
        <w:t>Статья 9. Полномочия органов местного самоуправления.</w:t>
      </w:r>
      <w:r>
        <w:tab/>
      </w:r>
      <w:r>
        <w:fldChar w:fldCharType="begin"/>
      </w:r>
      <w:r>
        <w:instrText xml:space="preserve"> PAGEREF _Toc159317544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3D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"_Toc159317545" </w:instrText>
      </w:r>
      <w:r>
        <w:fldChar w:fldCharType="separate"/>
      </w:r>
      <w:r>
        <w:rPr>
          <w:rStyle w:val="Hyperlink"/>
        </w:rPr>
        <w:t>Статья 10. Комиссия по подготовке проекта правил землепользования и застройки</w:t>
      </w:r>
      <w:r>
        <w:tab/>
      </w:r>
      <w:r>
        <w:fldChar w:fldCharType="begin"/>
      </w:r>
      <w:r>
        <w:instrText xml:space="preserve"> PAGEREF _Toc159317545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3E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"_Toc159317546"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>Глава 3. Положения об изменении видов разрешенного использования земельных участков и объектов капитального строительства физическими и юридическими лицами</w:t>
      </w:r>
      <w:r>
        <w:rPr>
          <w:rStyle w:val="Hyperlink"/>
        </w:rPr>
        <w:t>.</w:t>
      </w:r>
      <w:r>
        <w:tab/>
      </w:r>
      <w:r>
        <w:fldChar w:fldCharType="begin"/>
      </w:r>
      <w:r>
        <w:instrText xml:space="preserve"> PAGEREF _Toc159317546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3F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"_Toc159317547" </w:instrText>
      </w:r>
      <w:r>
        <w:fldChar w:fldCharType="separate"/>
      </w:r>
      <w:r>
        <w:rPr>
          <w:rStyle w:val="Hyperlink"/>
        </w:rPr>
        <w:t>Статья 11. Общие положения об изменении видов разрешённого использования земельных участков и объектов капитального строительства физическими и юридическими лицами</w:t>
      </w:r>
      <w:r>
        <w:tab/>
      </w:r>
      <w:r>
        <w:fldChar w:fldCharType="begin"/>
      </w:r>
      <w:r>
        <w:instrText xml:space="preserve"> PAGEREF _Toc159317547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00000040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"_Toc159317548" </w:instrText>
      </w:r>
      <w:r>
        <w:fldChar w:fldCharType="separate"/>
      </w:r>
      <w:r>
        <w:rPr>
          <w:rStyle w:val="Hyperlink"/>
        </w:rPr>
        <w:t>Статья 12. Предоставление разрешения на условно разрешённый вид использования земельного участка и объекта капитального строительства.</w:t>
      </w:r>
      <w:r>
        <w:tab/>
      </w:r>
      <w:r>
        <w:fldChar w:fldCharType="begin"/>
      </w:r>
      <w:r>
        <w:instrText xml:space="preserve"> PAGEREF _Toc159317548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 w14:paraId="00000041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"_Toc159317549"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 xml:space="preserve">Глава 4. Положения о проведении </w:t>
      </w:r>
      <w:r>
        <w:rPr>
          <w:rStyle w:val="Hyperlink"/>
        </w:rPr>
        <w:t>общественных обсуждений, публичных слушаний по вопросам землепользования и застройки.</w:t>
      </w:r>
      <w:r>
        <w:tab/>
      </w:r>
      <w:r>
        <w:fldChar w:fldCharType="begin"/>
      </w:r>
      <w:r>
        <w:instrText xml:space="preserve"> PAGEREF _Toc159317549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00000042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"_Toc159317550" </w:instrText>
      </w:r>
      <w:r>
        <w:fldChar w:fldCharType="separate"/>
      </w:r>
      <w:r>
        <w:rPr>
          <w:rStyle w:val="Hyperlink"/>
          <w:rFonts w:eastAsia="Calibri"/>
          <w:lang w:eastAsia="ar-SA"/>
        </w:rPr>
        <w:t>Статья 13. Подготовка документации по планировке территории.</w:t>
      </w:r>
      <w:r>
        <w:tab/>
      </w:r>
      <w:r>
        <w:fldChar w:fldCharType="begin"/>
      </w:r>
      <w:r>
        <w:instrText xml:space="preserve"> PAGEREF _Toc159317550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00000043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"_Toc159317551" </w:instrText>
      </w:r>
      <w:r>
        <w:fldChar w:fldCharType="separate"/>
      </w:r>
      <w:r>
        <w:rPr>
          <w:rStyle w:val="Hyperlink"/>
        </w:rPr>
        <w:t>Статья 14. Подготовка и утверждение документации по планировке территории, порядок внесения в нее изменений и ее отмены</w:t>
      </w:r>
      <w:r>
        <w:tab/>
      </w:r>
      <w:r>
        <w:fldChar w:fldCharType="begin"/>
      </w:r>
      <w:r>
        <w:instrText xml:space="preserve"> PAGEREF _Toc159317551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00000044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"_Toc159317552"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>Глава 5. Положения о проведении общественных обсуждений или публичных слушаний по вопросам землепользования и застройки</w:t>
      </w:r>
      <w:r>
        <w:tab/>
      </w:r>
      <w:r>
        <w:fldChar w:fldCharType="begin"/>
      </w:r>
      <w:r>
        <w:instrText xml:space="preserve"> PAGEREF _Toc159317552 \h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 w14:paraId="00000045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"_Toc159317553" </w:instrText>
      </w:r>
      <w:r>
        <w:fldChar w:fldCharType="separate"/>
      </w:r>
      <w:r>
        <w:rPr>
          <w:rStyle w:val="Hyperlink"/>
        </w:rPr>
        <w:t>Статья 15. Общественные обсуждения, публичные слушания по проектам правил землепользования и застройки,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</w:t>
      </w:r>
      <w:r>
        <w:rPr>
          <w:rStyle w:val="Hyperlink"/>
        </w:rPr>
        <w:t>е</w:t>
      </w:r>
      <w:r>
        <w:rPr>
          <w:rStyle w:val="Hyperlink"/>
        </w:rPr>
        <w:t>нии разрешения на отклонение от предельных параметров разрешенного строительства, реконстру</w:t>
      </w:r>
      <w:r>
        <w:rPr>
          <w:rStyle w:val="Hyperlink"/>
        </w:rPr>
        <w:t>к</w:t>
      </w:r>
      <w:r>
        <w:rPr>
          <w:rStyle w:val="Hyperlink"/>
        </w:rPr>
        <w:t>ции объектов капитального строительства</w:t>
      </w:r>
      <w:r>
        <w:tab/>
      </w:r>
      <w:r>
        <w:fldChar w:fldCharType="begin"/>
      </w:r>
      <w:r>
        <w:instrText xml:space="preserve"> PAGEREF _Toc159317553 \h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 w14:paraId="00000046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"_Toc159317554"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>Глава 6. Положение о внесении изменений в правила землепользования и застройки</w:t>
      </w:r>
      <w:r>
        <w:tab/>
      </w:r>
      <w:r>
        <w:fldChar w:fldCharType="begin"/>
      </w:r>
      <w:r>
        <w:instrText xml:space="preserve"> PAGEREF _Toc159317554 \h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 w14:paraId="00000047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"_Toc159317555" </w:instrText>
      </w:r>
      <w:r>
        <w:fldChar w:fldCharType="separate"/>
      </w:r>
      <w:r>
        <w:rPr>
          <w:rStyle w:val="Hyperlink"/>
        </w:rPr>
        <w:t>Статья 16. Порядок внесения  изменений в правила землепользования и застройки</w:t>
      </w:r>
      <w:r>
        <w:tab/>
      </w:r>
      <w:r>
        <w:fldChar w:fldCharType="begin"/>
      </w:r>
      <w:r>
        <w:instrText xml:space="preserve"> PAGEREF _Toc159317555 \h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 w14:paraId="00000048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"_Toc159317556" </w:instrText>
      </w:r>
      <w:r>
        <w:fldChar w:fldCharType="separate"/>
      </w:r>
      <w:r>
        <w:rPr>
          <w:rStyle w:val="Hyperlink"/>
        </w:rPr>
        <w:t>Статья 16.1. Порядок подготовки проекта внесения изменений в Правила землепользования и застройки</w:t>
      </w:r>
      <w:r>
        <w:tab/>
      </w:r>
      <w:r>
        <w:fldChar w:fldCharType="begin"/>
      </w:r>
      <w:r>
        <w:instrText xml:space="preserve"> PAGEREF _Toc159317556 \h </w:instrText>
      </w:r>
      <w:r>
        <w:fldChar w:fldCharType="separate"/>
      </w:r>
      <w:r>
        <w:t>26</w:t>
      </w:r>
      <w:r>
        <w:fldChar w:fldCharType="end"/>
      </w:r>
      <w:r>
        <w:fldChar w:fldCharType="end"/>
      </w:r>
    </w:p>
    <w:p w14:paraId="00000049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"_Toc159317557" </w:instrText>
      </w:r>
      <w:r>
        <w:fldChar w:fldCharType="separate"/>
      </w:r>
      <w:r>
        <w:rPr>
          <w:rStyle w:val="Hyperlink"/>
        </w:rPr>
        <w:t>Статья 17. Порядок утверждения внесения изменений в правила землепользования и застройки</w:t>
      </w:r>
      <w:r>
        <w:tab/>
      </w:r>
      <w:r>
        <w:fldChar w:fldCharType="begin"/>
      </w:r>
      <w:r>
        <w:instrText xml:space="preserve"> PAGEREF _Toc159317557 \h </w:instrText>
      </w:r>
      <w:r>
        <w:fldChar w:fldCharType="separate"/>
      </w:r>
      <w:r>
        <w:t>29</w:t>
      </w:r>
      <w:r>
        <w:fldChar w:fldCharType="end"/>
      </w:r>
      <w:r>
        <w:fldChar w:fldCharType="end"/>
      </w:r>
    </w:p>
    <w:p w14:paraId="0000004A">
      <w:pPr>
        <w:pStyle w:val="Toc2"/>
        <w:rPr>
          <w:rFonts w:asciiTheme="minorHAnsi" w:cstheme="minorBidi" w:eastAsiaTheme="minorEastAsia" w:hAnsiTheme="minorHAnsi"/>
          <w:sz w:val="22"/>
          <w:szCs w:val="22"/>
        </w:rPr>
      </w:pPr>
      <w:r>
        <w:fldChar w:fldCharType="begin"/>
      </w:r>
      <w:r>
        <w:instrText xml:space="preserve">HYPERLINK \l "_Toc159317558" </w:instrText>
      </w:r>
      <w:r>
        <w:fldChar w:fldCharType="separate"/>
      </w:r>
      <w:r>
        <w:rPr>
          <w:rStyle w:val="Hyperlink"/>
          <w:rFonts w:eastAsia="GOST Type AU"/>
          <w:lang w:eastAsia="ar-SA"/>
        </w:rPr>
        <w:t>Глава 7. Положение о регулировании иных вопросов землепользования и застройки</w:t>
      </w:r>
      <w:r>
        <w:tab/>
      </w:r>
      <w:r>
        <w:fldChar w:fldCharType="begin"/>
      </w:r>
      <w:r>
        <w:instrText xml:space="preserve"> PAGEREF _Toc159317558 \h </w:instrText>
      </w:r>
      <w:r>
        <w:fldChar w:fldCharType="separate"/>
      </w:r>
      <w:r>
        <w:t>30</w:t>
      </w:r>
      <w:r>
        <w:fldChar w:fldCharType="end"/>
      </w:r>
      <w:r>
        <w:fldChar w:fldCharType="end"/>
      </w:r>
    </w:p>
    <w:p w14:paraId="0000004B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"_Toc159317559" </w:instrText>
      </w:r>
      <w:r>
        <w:fldChar w:fldCharType="separate"/>
      </w:r>
      <w:r>
        <w:rPr>
          <w:rStyle w:val="Hyperlink"/>
        </w:rPr>
        <w:t>Статья 18. Отклонение от предельных параметров разрешенного строительства, реконструкции объектов капитального строительства</w:t>
      </w:r>
      <w:r>
        <w:tab/>
      </w:r>
      <w:r>
        <w:fldChar w:fldCharType="begin"/>
      </w:r>
      <w:r>
        <w:instrText xml:space="preserve"> PAGEREF _Toc159317559 \h </w:instrText>
      </w:r>
      <w:r>
        <w:fldChar w:fldCharType="separate"/>
      </w:r>
      <w:r>
        <w:t>30</w:t>
      </w:r>
      <w:r>
        <w:fldChar w:fldCharType="end"/>
      </w:r>
      <w:r>
        <w:fldChar w:fldCharType="end"/>
      </w:r>
    </w:p>
    <w:p w14:paraId="0000004C">
      <w:pPr>
        <w:pStyle w:val="Toc3"/>
        <w:rPr>
          <w:rFonts w:asciiTheme="minorHAnsi" w:cstheme="minorBidi" w:eastAsiaTheme="minorEastAsia" w:hAnsiTheme="minorHAnsi"/>
        </w:rPr>
      </w:pPr>
      <w:r>
        <w:fldChar w:fldCharType="begin"/>
      </w:r>
      <w:r>
        <w:instrText xml:space="preserve">HYPERLINK \l "_Toc159317560" </w:instrText>
      </w:r>
      <w:r>
        <w:fldChar w:fldCharType="separate"/>
      </w:r>
      <w:r>
        <w:rPr>
          <w:rStyle w:val="Hyperlink"/>
        </w:rPr>
        <w:t>Статья 18.1 Архитектурно-градостроительный облик объекта капитального строительства</w:t>
      </w:r>
      <w:r>
        <w:tab/>
      </w:r>
      <w:r>
        <w:fldChar w:fldCharType="begin"/>
      </w:r>
      <w:r>
        <w:instrText xml:space="preserve"> PAGEREF _Toc159317560 \h </w:instrText>
      </w:r>
      <w:r>
        <w:fldChar w:fldCharType="separate"/>
      </w:r>
      <w:r>
        <w:t>31</w:t>
      </w:r>
      <w:r>
        <w:fldChar w:fldCharType="end"/>
      </w:r>
      <w:r>
        <w:fldChar w:fldCharType="end"/>
      </w:r>
    </w:p>
    <w:p w14:paraId="0000004D">
      <w:pPr>
        <w:pStyle w:val="Toc1"/>
        <w:ind w:left="284" w:hanging="284"/>
        <w:rPr/>
      </w:pPr>
      <w:r>
        <w:fldChar w:fldCharType="end"/>
      </w:r>
    </w:p>
    <w:p w14:paraId="0000004E"/>
    <w:p w14:paraId="0000004F"/>
    <w:p w14:paraId="00000050"/>
    <w:p w14:paraId="00000051"/>
    <w:p w14:paraId="00000052"/>
    <w:p w14:paraId="00000053"/>
    <w:p w14:paraId="00000054"/>
    <w:p w14:paraId="00000055"/>
    <w:p w14:paraId="00000056"/>
    <w:p w14:paraId="00000057">
      <w:pPr>
        <w:pStyle w:val="Heading1"/>
        <w:rPr>
          <w:b/>
        </w:rPr>
      </w:pPr>
      <w:r>
        <w:rPr/>
        <w:br w:type="page"/>
      </w:r>
      <w:bookmarkStart w:id="0" w:name="_Toc89422051"/>
      <w:bookmarkStart w:id="1" w:name="_Toc159317532"/>
      <w:r>
        <w:rPr>
          <w:b/>
        </w:rPr>
        <w:t>ЧАСТЬ 1</w:t>
      </w:r>
      <w:bookmarkEnd w:id="0"/>
      <w:bookmarkEnd w:id="1"/>
    </w:p>
    <w:p w14:paraId="00000058">
      <w:pPr>
        <w:pStyle w:val="Heading1"/>
        <w:rPr>
          <w:b/>
        </w:rPr>
      </w:pPr>
      <w:bookmarkStart w:id="2" w:name="_Toc89422052"/>
      <w:bookmarkStart w:id="3" w:name="_Toc159317533"/>
      <w:r>
        <w:rPr>
          <w:b/>
        </w:rPr>
        <w:t>ПОРЯДОК ПРИМЕНЕНИЯ ПРАВИЛ. ПОРЯДОК ВНЕСЕНИЯ ИЗМЕН</w:t>
      </w:r>
      <w:r>
        <w:rPr>
          <w:b/>
        </w:rPr>
        <w:t>Е</w:t>
      </w:r>
      <w:r>
        <w:rPr>
          <w:b/>
        </w:rPr>
        <w:t>НИЙ В ПРАВИЛА</w:t>
      </w:r>
      <w:bookmarkEnd w:id="2"/>
      <w:bookmarkEnd w:id="3"/>
    </w:p>
    <w:p w14:paraId="00000059">
      <w:pPr>
        <w:pStyle w:val="Heading2"/>
        <w:spacing w:before="240"/>
        <w:rPr>
          <w:rFonts w:eastAsia="GOST Type AU"/>
          <w:lang w:eastAsia="ar-SA"/>
        </w:rPr>
      </w:pPr>
      <w:bookmarkStart w:id="4" w:name="_Toc208205263"/>
      <w:bookmarkStart w:id="5" w:name="_Toc427840773"/>
      <w:bookmarkStart w:id="6" w:name="_Toc427840955"/>
      <w:bookmarkStart w:id="7" w:name="_Toc89422053"/>
      <w:bookmarkStart w:id="8" w:name="_Toc159317534"/>
      <w:r>
        <w:rPr>
          <w:rFonts w:eastAsia="GOST Type AU"/>
          <w:lang w:eastAsia="ar-SA"/>
        </w:rPr>
        <w:t xml:space="preserve">Глава 1. </w:t>
      </w:r>
      <w:bookmarkEnd w:id="4"/>
      <w:bookmarkEnd w:id="5"/>
      <w:bookmarkEnd w:id="6"/>
      <w:r>
        <w:rPr>
          <w:rFonts w:eastAsia="GOST Type AU"/>
          <w:lang w:eastAsia="ar-SA"/>
        </w:rPr>
        <w:t>Общие положения</w:t>
      </w:r>
      <w:bookmarkEnd w:id="7"/>
      <w:bookmarkEnd w:id="8"/>
    </w:p>
    <w:p w14:paraId="0000005A">
      <w:pPr>
        <w:pStyle w:val="Heading3"/>
        <w:rPr/>
      </w:pPr>
      <w:bookmarkStart w:id="9" w:name="_Toc159317535"/>
      <w:r>
        <w:t>Статья 1. Цели Правил</w:t>
      </w:r>
      <w:bookmarkEnd w:id="9"/>
    </w:p>
    <w:p w14:paraId="0000005B">
      <w:r>
        <w:t>Правила утверждаются и применяются в целях:</w:t>
      </w:r>
    </w:p>
    <w:p w14:paraId="0000005C">
      <w:r>
        <w:t>1) создания условий для устойчивого развития территории муниципального образов</w:t>
      </w:r>
      <w:r>
        <w:t>а</w:t>
      </w:r>
      <w:r>
        <w:t>ния, сохранения окружающей среды и объектов культурного наследия;</w:t>
      </w:r>
    </w:p>
    <w:p w14:paraId="0000005D">
      <w:r>
        <w:t>2) создания условий для планировки территории муниципального образования;</w:t>
      </w:r>
    </w:p>
    <w:p w14:paraId="0000005E">
      <w:r>
        <w:t>3)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14:paraId="0000005F">
      <w:r>
        <w:t>4)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строительства.</w:t>
      </w:r>
    </w:p>
    <w:p w14:paraId="00000060">
      <w:pPr>
        <w:pStyle w:val="Heading3"/>
        <w:rPr/>
      </w:pPr>
      <w:bookmarkStart w:id="10" w:name="_Toc200537076"/>
      <w:bookmarkStart w:id="11" w:name="_Toc208205264"/>
      <w:bookmarkStart w:id="12" w:name="_Toc427840774"/>
      <w:bookmarkStart w:id="13" w:name="_Toc427840956"/>
      <w:bookmarkStart w:id="14" w:name="_Toc89422054"/>
      <w:bookmarkStart w:id="15" w:name="_Toc159317536"/>
      <w:r>
        <w:t xml:space="preserve">Статья 2. </w:t>
      </w:r>
      <w:bookmarkEnd w:id="10"/>
      <w:bookmarkEnd w:id="11"/>
      <w:bookmarkEnd w:id="12"/>
      <w:bookmarkEnd w:id="13"/>
      <w:r>
        <w:t>Область применения Правил</w:t>
      </w:r>
      <w:bookmarkEnd w:id="14"/>
      <w:bookmarkEnd w:id="15"/>
    </w:p>
    <w:p w14:paraId="00000061">
      <w:r>
        <w:t>1. Правила распространяются на всю территорию муниципального образования. Треб</w:t>
      </w:r>
      <w:r>
        <w:t>о</w:t>
      </w:r>
      <w:r>
        <w:t>вания, установленные Правилами градостроительных регламентов, сохраняются при измен</w:t>
      </w:r>
      <w:r>
        <w:t>е</w:t>
      </w:r>
      <w:r>
        <w:t>нии формы собственности на земельный участок, объект капитального строительства, при п</w:t>
      </w:r>
      <w:r>
        <w:t>е</w:t>
      </w:r>
      <w:r>
        <w:t>реходе прав на земельный участок, объект капитального строительства другому правооблад</w:t>
      </w:r>
      <w:r>
        <w:t>а</w:t>
      </w:r>
      <w:r>
        <w:t>телю.</w:t>
      </w:r>
    </w:p>
    <w:p w14:paraId="00000062">
      <w:r>
        <w:t>2. Правила применяются:</w:t>
      </w:r>
    </w:p>
    <w:p w14:paraId="00000063">
      <w:r>
        <w:t>1) при подготовке, проверке и утверждении документации по планировке территории и градостроительных планов земельных участков;</w:t>
      </w:r>
    </w:p>
    <w:p w14:paraId="00000064">
      <w:r>
        <w:t>2) при принятии решений об изъятии для государственных нужд земельных участков и объектов капитального строительства, расположенных на них, о резервировании земель для их последующего изъятия для государственных нужд;</w:t>
      </w:r>
    </w:p>
    <w:p w14:paraId="00000065">
      <w:r>
        <w:t>3) при принятии решений о выдаче или об отказе в выдаче разрешений на условно ра</w:t>
      </w:r>
      <w:r>
        <w:t>з</w:t>
      </w:r>
      <w:r>
        <w:t>решенные виды использования земельных участков и объектов капитального строительства;</w:t>
      </w:r>
    </w:p>
    <w:p w14:paraId="00000066">
      <w:r>
        <w:t>4) при принятии решений о выдаче или об отказе в выдаче разрешений на отклонение от предельных параметров разрешенного строительства, реконструкции объектов капитальн</w:t>
      </w:r>
      <w:r>
        <w:t>о</w:t>
      </w:r>
      <w:r>
        <w:t>го строительства;</w:t>
      </w:r>
    </w:p>
    <w:p w14:paraId="00000067">
      <w:r>
        <w:t>5) при осуществлении контроля и надзора за использованием земельных участков и объектов капитального строительства;</w:t>
      </w:r>
    </w:p>
    <w:p w14:paraId="00000068">
      <w:r>
        <w:t>6) при рассмотрении в уполномоченных органах вопросов правомерности использов</w:t>
      </w:r>
      <w:r>
        <w:t>а</w:t>
      </w:r>
      <w:r>
        <w:t>ния земельных участков и объектов капитального строительства;</w:t>
      </w:r>
    </w:p>
    <w:p w14:paraId="00000069">
      <w:r>
        <w:t>7) при образовании земельных участков, подготовке документов для государственной регистрации прав на земельные участки и объекты капитального строительства, подготовке сведений, подлежащих внесению в государственный кадастр недвижимости.</w:t>
      </w:r>
    </w:p>
    <w:p w14:paraId="0000006A"/>
    <w:p w14:paraId="0000006B">
      <w:r>
        <w:t>3. Настоящие Правила не применяются:</w:t>
      </w:r>
    </w:p>
    <w:p w14:paraId="0000006C">
      <w:r>
        <w:t>1) при благоустройстве территории;</w:t>
      </w:r>
    </w:p>
    <w:p w14:paraId="0000006D">
      <w:r>
        <w:t>2) при капитальном ремонте объектов капитального строительства.</w:t>
      </w:r>
    </w:p>
    <w:p w14:paraId="0000006E">
      <w:pPr>
        <w:pStyle w:val="Heading3"/>
        <w:rPr/>
      </w:pPr>
      <w:bookmarkStart w:id="16" w:name="_Toc200537077"/>
      <w:bookmarkStart w:id="17" w:name="_Toc208205265"/>
      <w:bookmarkStart w:id="18" w:name="_Toc427840775"/>
      <w:bookmarkStart w:id="19" w:name="_Toc427840957"/>
      <w:bookmarkStart w:id="20" w:name="_Toc89422055"/>
      <w:bookmarkStart w:id="21" w:name="_Toc159317537"/>
      <w:r>
        <w:t xml:space="preserve">Статья 3. </w:t>
      </w:r>
      <w:bookmarkEnd w:id="16"/>
      <w:bookmarkEnd w:id="17"/>
      <w:bookmarkEnd w:id="18"/>
      <w:bookmarkEnd w:id="19"/>
      <w:bookmarkStart w:id="22" w:name="_Toc200537078"/>
      <w:bookmarkStart w:id="23" w:name="_Toc208205266"/>
      <w:r>
        <w:t>Общедоступность информации о землепользовании и застройке</w:t>
      </w:r>
      <w:bookmarkEnd w:id="20"/>
      <w:bookmarkEnd w:id="21"/>
      <w:r>
        <w:t xml:space="preserve"> </w:t>
      </w:r>
    </w:p>
    <w:p w14:paraId="0000006F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1. Все текстовые и графические материалы Правил застройки являются общедоступной информацией. Доступ к текстовым и графическим материалам Правил застройки не ограничен.</w:t>
      </w:r>
    </w:p>
    <w:p w14:paraId="00000070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2</w:t>
      </w:r>
      <w:r>
        <w:rPr>
          <w:rFonts w:eastAsia="Arial"/>
          <w:lang w:bidi="hi-IN" w:eastAsia="hi-IN"/>
        </w:rPr>
        <w:t>. Администрация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Берсеневского</w:t>
      </w:r>
      <w:r>
        <w:rPr>
          <w:rFonts w:eastAsia="Arial"/>
          <w:lang w:bidi="hi-IN" w:eastAsia="hi-IN"/>
        </w:rPr>
        <w:t xml:space="preserve"> сельского поселения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Лямбирского</w:t>
      </w:r>
      <w:r>
        <w:rPr>
          <w:rFonts w:eastAsia="Arial"/>
          <w:lang w:bidi="hi-IN" w:eastAsia="hi-IN"/>
        </w:rPr>
        <w:t xml:space="preserve"> муниципального </w:t>
      </w:r>
      <w:r>
        <w:rPr>
          <w:rFonts w:eastAsia="Arial"/>
          <w:lang w:bidi="hi-IN" w:eastAsia="hi-IN"/>
        </w:rPr>
        <w:t>района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(далее - Администрация) обеспечивает возможность ознакомления с Правилами застройки путем:</w:t>
      </w:r>
    </w:p>
    <w:p w14:paraId="00000071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- опубликования в средствах массовой информации;</w:t>
      </w:r>
    </w:p>
    <w:p w14:paraId="00000072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- размещения на официальном сайте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Берсеневского</w:t>
      </w:r>
      <w:r>
        <w:rPr>
          <w:rFonts w:eastAsia="Arial"/>
          <w:lang w:bidi="hi-IN" w:eastAsia="hi-IN"/>
        </w:rPr>
        <w:t xml:space="preserve"> сельского поселения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Лямбир</w:t>
      </w:r>
      <w:r>
        <w:rPr>
          <w:rFonts w:eastAsia="Arial"/>
          <w:lang w:bidi="hi-IN" w:eastAsia="hi-IN"/>
        </w:rPr>
        <w:t>ского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муниципального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 xml:space="preserve">района </w:t>
      </w:r>
      <w:r>
        <w:rPr>
          <w:rFonts w:eastAsia="Arial"/>
          <w:lang w:bidi="hi-IN" w:eastAsia="hi-IN"/>
        </w:rPr>
        <w:t>в информационно-телекоммуникационной сети "Интернет";</w:t>
      </w:r>
    </w:p>
    <w:p w14:paraId="00000073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- создания условий для ознакомления с настоящими Правилами, в том числе с входящими в их состав картографическими документами в Администрации, иных органах и организациях, участвующих в регулировании землепользования и застройки в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</w:t>
      </w:r>
      <w:r>
        <w:rPr>
          <w:rFonts w:eastAsia="Arial"/>
          <w:lang w:bidi="hi-IN" w:eastAsia="hi-IN"/>
        </w:rPr>
        <w:t>ском</w:t>
      </w:r>
      <w:r>
        <w:rPr>
          <w:rFonts w:eastAsia="Arial"/>
          <w:lang w:bidi="hi-IN" w:eastAsia="hi-IN"/>
        </w:rPr>
        <w:t xml:space="preserve"> сельском поселении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Берсеневского</w:t>
      </w:r>
      <w:r>
        <w:rPr>
          <w:rFonts w:eastAsia="Arial"/>
          <w:lang w:bidi="hi-IN" w:eastAsia="hi-IN"/>
        </w:rPr>
        <w:t xml:space="preserve"> района</w:t>
      </w:r>
      <w:r>
        <w:rPr>
          <w:rFonts w:eastAsia="Arial"/>
          <w:lang w:bidi="hi-IN" w:eastAsia="hi-IN"/>
        </w:rPr>
        <w:t>.</w:t>
      </w:r>
    </w:p>
    <w:p w14:paraId="00000074">
      <w:pPr>
        <w:pStyle w:val="Heading3"/>
        <w:rPr/>
      </w:pPr>
      <w:bookmarkStart w:id="24" w:name="_Toc159317538"/>
      <w:r>
        <w:t>Статья 4. Соотношение Правил с Генеральным планом муниципального образ</w:t>
      </w:r>
      <w:r>
        <w:t>о</w:t>
      </w:r>
      <w:r>
        <w:t>вания и документацией по планировке территории</w:t>
      </w:r>
      <w:bookmarkEnd w:id="24"/>
    </w:p>
    <w:p w14:paraId="00000075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1. Правила застройки разработаны на основе Генерального плана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Берсеневского</w:t>
      </w:r>
      <w:r>
        <w:rPr>
          <w:rFonts w:eastAsia="Arial"/>
          <w:lang w:bidi="hi-IN" w:eastAsia="hi-IN"/>
        </w:rPr>
        <w:t xml:space="preserve"> сельского поселения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Лямбир</w:t>
      </w:r>
      <w:r>
        <w:rPr>
          <w:rFonts w:eastAsia="Arial"/>
          <w:lang w:bidi="hi-IN" w:eastAsia="hi-IN"/>
        </w:rPr>
        <w:t>ского</w:t>
      </w:r>
      <w:r>
        <w:rPr>
          <w:rFonts w:eastAsia="Arial"/>
          <w:lang w:bidi="hi-IN" w:eastAsia="hi-IN"/>
        </w:rPr>
        <w:t xml:space="preserve"> района</w:t>
      </w:r>
      <w:r>
        <w:rPr>
          <w:rFonts w:eastAsia="Arial"/>
          <w:lang w:bidi="hi-IN" w:eastAsia="hi-IN"/>
        </w:rPr>
        <w:t>. Допускается конкретизация Правилами застройки положений указанного Генерального плана, но с обязательным учетом функционального зонирования территории.</w:t>
      </w:r>
    </w:p>
    <w:p w14:paraId="00000076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В случае внесения в установленном порядке изменений в Генеральный план соответствующие изменения вносятся в Правила застройки.</w:t>
      </w:r>
    </w:p>
    <w:p w14:paraId="00000077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2. Документация по планировке территории разрабатывается на основе Генерального плана муниципального образования, Правил застройки.</w:t>
      </w:r>
    </w:p>
    <w:p w14:paraId="00000078">
      <w:pPr>
        <w:pStyle w:val="Heading3"/>
        <w:rPr/>
      </w:pPr>
      <w:bookmarkStart w:id="25" w:name="_Toc159317539"/>
      <w:r>
        <w:t>Статья 5. Действие Правил по отношению к ранее возникшим правам</w:t>
      </w:r>
      <w:bookmarkEnd w:id="25"/>
    </w:p>
    <w:p w14:paraId="00000079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1. Правила не применяются к отношениям по землепользованию и застройке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Берсеневского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сельского поселения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Лямбир</w:t>
      </w:r>
      <w:r>
        <w:rPr>
          <w:rFonts w:eastAsia="Arial"/>
          <w:lang w:bidi="hi-IN" w:eastAsia="hi-IN"/>
        </w:rPr>
        <w:t>ского</w:t>
      </w:r>
      <w:r>
        <w:rPr>
          <w:rFonts w:eastAsia="Arial"/>
          <w:lang w:bidi="hi-IN" w:eastAsia="hi-IN"/>
        </w:rPr>
        <w:t xml:space="preserve"> района</w:t>
      </w:r>
      <w:r>
        <w:rPr>
          <w:rFonts w:eastAsia="Arial"/>
          <w:lang w:bidi="hi-IN" w:eastAsia="hi-IN"/>
        </w:rPr>
        <w:t>, в том числе к отношениям по архитектурно-строительному проектированию, строительству и реконструкции объектов капитального строительства, возникшим до вступления их в силу.</w:t>
      </w:r>
    </w:p>
    <w:p w14:paraId="0000007A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2. Установленные Правилами градостроительные регламенты не являются препятствием для оформления в установленном законодательством порядке прав на объекты капитального строительства, построенные или реконструированные до вступления в силу Правил в соответствии с действующим законодательством.</w:t>
      </w:r>
    </w:p>
    <w:p w14:paraId="0000007B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 xml:space="preserve">3. Принятые до вступления в силу </w:t>
      </w:r>
      <w:r>
        <w:rPr>
          <w:rFonts w:eastAsia="Arial"/>
          <w:lang w:bidi="hi-IN" w:eastAsia="hi-IN"/>
        </w:rPr>
        <w:t>Правил</w:t>
      </w:r>
      <w:r>
        <w:rPr>
          <w:rFonts w:eastAsia="Arial"/>
          <w:lang w:bidi="hi-IN" w:eastAsia="hi-IN"/>
        </w:rPr>
        <w:t xml:space="preserve"> муниципальные правовые акты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Берсеневского</w:t>
      </w:r>
      <w:r>
        <w:rPr>
          <w:rFonts w:eastAsia="Arial"/>
          <w:lang w:bidi="hi-IN" w:eastAsia="hi-IN"/>
        </w:rPr>
        <w:t xml:space="preserve"> сельского поселения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Лямбир</w:t>
      </w:r>
      <w:r>
        <w:rPr>
          <w:rFonts w:eastAsia="Arial"/>
          <w:lang w:bidi="hi-IN" w:eastAsia="hi-IN"/>
        </w:rPr>
        <w:t>ского</w:t>
      </w:r>
      <w:r>
        <w:rPr>
          <w:rFonts w:eastAsia="Arial"/>
          <w:lang w:bidi="hi-IN" w:eastAsia="hi-IN"/>
        </w:rPr>
        <w:t xml:space="preserve"> района</w:t>
      </w:r>
      <w:r>
        <w:rPr>
          <w:rFonts w:eastAsia="Arial"/>
          <w:lang w:bidi="hi-IN" w:eastAsia="hi-IN"/>
        </w:rPr>
        <w:t xml:space="preserve"> </w:t>
      </w:r>
      <w:r>
        <w:rPr>
          <w:rFonts w:eastAsia="Arial"/>
          <w:lang w:bidi="hi-IN" w:eastAsia="hi-IN"/>
        </w:rPr>
        <w:t>по вопросам землепользования и застройки применяются в части, не противоречащей Правилам.</w:t>
      </w:r>
    </w:p>
    <w:p w14:paraId="0000007C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>4. Разрешения на строительство, реконструкцию объектов капитального строительства, градостроительные планы земельных участков, решения о предварительном согласовании места размещения объектов, выданные физическим и юридическим лицам до вступления в силу настоящих Правил, решений о внесении изменений в Правила являются действительными. Разрешения на ввод в эксплуатацию построенных или реконструированных на основе таких разрешений на строительство объектов капитального строительства выдаются в соответствии с действующими на момент выдачи разрешения на строительство градостроительными регламентами.</w:t>
      </w:r>
    </w:p>
    <w:p w14:paraId="0000007D">
      <w:pPr>
        <w:widowControl w:val="off"/>
        <w:rPr>
          <w:rFonts w:eastAsia="Arial"/>
          <w:lang w:bidi="hi-IN" w:eastAsia="hi-IN"/>
        </w:rPr>
      </w:pPr>
      <w:r>
        <w:rPr>
          <w:rFonts w:eastAsia="Arial"/>
          <w:lang w:bidi="hi-IN" w:eastAsia="hi-IN"/>
        </w:rPr>
        <w:t xml:space="preserve">5. </w:t>
      </w:r>
      <w:r>
        <w:rPr>
          <w:rFonts w:eastAsia="Arial"/>
          <w:lang w:bidi="hi-IN" w:eastAsia="hi-IN"/>
        </w:rPr>
        <w:t>Выданные до вступления в силу настоящих Правил специальные согласования, разрешения на условно разрешенный вид использования земельных участков и объектов капитального строительства, разрешения на отклонение от предельных параметров земельных участков и объектов капитального строительства признаются действительными при условии их соответствия основным и (или) условно разрешенным видам использования земельных участков и объектов капитального строительства, установленных настоящими Правилами применительно к территориальным зонам, в</w:t>
      </w:r>
      <w:r>
        <w:rPr>
          <w:rFonts w:eastAsia="Arial"/>
          <w:lang w:bidi="hi-IN" w:eastAsia="hi-IN"/>
        </w:rPr>
        <w:t xml:space="preserve"> которых находятся земельные участки, в отношении которых были получены указанные выше специальные согласования и разрешения.</w:t>
      </w:r>
    </w:p>
    <w:p w14:paraId="0000007E">
      <w:pPr>
        <w:pStyle w:val="Heading3"/>
        <w:rPr/>
      </w:pPr>
      <w:bookmarkStart w:id="26" w:name="_Toc200537091"/>
      <w:bookmarkStart w:id="27" w:name="_Toc208205273"/>
      <w:bookmarkStart w:id="28" w:name="_Toc427840783"/>
      <w:bookmarkStart w:id="29" w:name="_Toc427840965"/>
      <w:bookmarkStart w:id="30" w:name="_Toc89422056"/>
      <w:bookmarkStart w:id="31" w:name="_Toc159317540"/>
      <w:r>
        <w:t xml:space="preserve">Статья 6. </w:t>
      </w:r>
      <w:bookmarkEnd w:id="26"/>
      <w:bookmarkEnd w:id="27"/>
      <w:bookmarkEnd w:id="28"/>
      <w:bookmarkEnd w:id="29"/>
      <w:r>
        <w:t>Общие положения о градостроительном зонировании территории</w:t>
      </w:r>
      <w:bookmarkEnd w:id="30"/>
      <w:r>
        <w:t xml:space="preserve"> </w:t>
      </w:r>
      <w:r>
        <w:t>Бе</w:t>
      </w:r>
      <w:r>
        <w:t>р</w:t>
      </w:r>
      <w:r>
        <w:t>сеневского</w:t>
      </w:r>
      <w:r>
        <w:t xml:space="preserve"> сельского поселения</w:t>
      </w:r>
      <w:r>
        <w:t xml:space="preserve"> </w:t>
      </w:r>
      <w:r>
        <w:rPr>
          <w:rFonts w:eastAsia="Arial"/>
          <w:lang w:bidi="hi-IN" w:eastAsia="hi-IN"/>
        </w:rPr>
        <w:t>Лямбир</w:t>
      </w:r>
      <w:r>
        <w:t>ского</w:t>
      </w:r>
      <w:r>
        <w:t xml:space="preserve"> района</w:t>
      </w:r>
      <w:bookmarkEnd w:id="31"/>
    </w:p>
    <w:p w14:paraId="0000007F">
      <w:pPr>
        <w:numPr>
          <w:ilvl w:val="0"/>
          <w:numId w:val="2"/>
        </w:numPr>
        <w:ind w:left="0" w:right="284" w:firstLine="709"/>
        <w:rPr/>
      </w:pPr>
      <w:r>
        <w:t>Правила, как документ включают:</w:t>
      </w:r>
    </w:p>
    <w:p w14:paraId="00000080">
      <w:pPr>
        <w:numPr>
          <w:ilvl w:val="0"/>
          <w:numId w:val="1"/>
        </w:numPr>
        <w:ind w:left="0" w:firstLine="709"/>
        <w:rPr/>
      </w:pPr>
      <w:r>
        <w:t>Порядок применения Правил и внесения в них изменений;</w:t>
      </w:r>
    </w:p>
    <w:p w14:paraId="00000081">
      <w:pPr>
        <w:numPr>
          <w:ilvl w:val="0"/>
          <w:numId w:val="1"/>
        </w:numPr>
        <w:ind w:left="0" w:firstLine="709"/>
        <w:rPr/>
      </w:pPr>
      <w:r>
        <w:t>Карту градостроительного зонирования;</w:t>
      </w:r>
    </w:p>
    <w:p w14:paraId="00000082">
      <w:pPr>
        <w:numPr>
          <w:ilvl w:val="0"/>
          <w:numId w:val="1"/>
        </w:numPr>
        <w:ind w:left="0" w:firstLine="709"/>
        <w:rPr/>
      </w:pPr>
      <w:r>
        <w:t>Градостроительные регламенты.</w:t>
      </w:r>
    </w:p>
    <w:p w14:paraId="00000083">
      <w:pPr>
        <w:numPr>
          <w:ilvl w:val="0"/>
          <w:numId w:val="2"/>
        </w:numPr>
        <w:ind w:left="0" w:firstLine="709"/>
        <w:rPr/>
      </w:pPr>
      <w:r>
        <w:t>Порядок применения правил землепользования и застройки и внесения в них изменений включает в себя положения:</w:t>
      </w:r>
    </w:p>
    <w:p w14:paraId="00000084">
      <w:r>
        <w:t>1) о регулировании землепользования и застройки органами местного самоуправления;</w:t>
      </w:r>
    </w:p>
    <w:p w14:paraId="00000085">
      <w:r>
        <w:t>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14:paraId="00000086">
      <w:r>
        <w:t>3) о подготовке документации по планировке территории органами местного сам</w:t>
      </w:r>
      <w:r>
        <w:t>о</w:t>
      </w:r>
      <w:r>
        <w:t>управления;</w:t>
      </w:r>
    </w:p>
    <w:p w14:paraId="00000087">
      <w:r>
        <w:t>4) о проведении общественных обсуждений или публичных слушаний по вопросам землепользования и застройки;</w:t>
      </w:r>
    </w:p>
    <w:p w14:paraId="00000088">
      <w:r>
        <w:t>5) о внесении изменений в правила землепользования и застройки;</w:t>
      </w:r>
    </w:p>
    <w:p w14:paraId="00000089">
      <w:r>
        <w:t>6) о регулировании иных вопросов землепользования и застройки.</w:t>
      </w:r>
    </w:p>
    <w:p w14:paraId="0000008A">
      <w:pPr>
        <w:numPr>
          <w:ilvl w:val="0"/>
          <w:numId w:val="2"/>
        </w:numPr>
        <w:ind w:left="0" w:firstLine="709"/>
        <w:rPr>
          <w:color w:val="000000"/>
        </w:rPr>
      </w:pPr>
      <w:r>
        <w:rPr>
          <w:color w:val="000000"/>
        </w:rPr>
        <w:t>На картах градостроительного зонирования отображаются:</w:t>
      </w:r>
    </w:p>
    <w:p w14:paraId="0000008B">
      <w:pPr>
        <w:numPr>
          <w:ilvl w:val="0"/>
          <w:numId w:val="39"/>
        </w:numPr>
        <w:ind w:left="0" w:firstLine="709"/>
        <w:rPr>
          <w:color w:val="000000"/>
        </w:rPr>
      </w:pPr>
      <w:r>
        <w:rPr>
          <w:color w:val="000000"/>
        </w:rPr>
        <w:t xml:space="preserve">границы населенных пунктов, входящих в состав поселения; </w:t>
      </w:r>
    </w:p>
    <w:p w14:paraId="0000008C">
      <w:pPr>
        <w:numPr>
          <w:ilvl w:val="0"/>
          <w:numId w:val="39"/>
        </w:numPr>
        <w:ind w:left="0" w:firstLine="709"/>
        <w:rPr>
          <w:color w:val="000000"/>
        </w:rPr>
      </w:pPr>
      <w:r>
        <w:rPr>
          <w:color w:val="000000"/>
        </w:rPr>
        <w:t>границы территориальных зон;</w:t>
      </w:r>
    </w:p>
    <w:p w14:paraId="0000008D">
      <w:pPr>
        <w:numPr>
          <w:ilvl w:val="0"/>
          <w:numId w:val="39"/>
        </w:numPr>
        <w:ind w:left="0" w:firstLine="709"/>
        <w:rPr>
          <w:color w:val="000000"/>
        </w:rPr>
      </w:pPr>
      <w:r>
        <w:rPr>
          <w:color w:val="000000"/>
        </w:rPr>
        <w:t xml:space="preserve">границы зон с особыми условиями использования территорий; </w:t>
      </w:r>
    </w:p>
    <w:p w14:paraId="0000008E">
      <w:pPr>
        <w:numPr>
          <w:ilvl w:val="0"/>
          <w:numId w:val="39"/>
        </w:numPr>
        <w:ind w:left="0" w:firstLine="709"/>
        <w:rPr>
          <w:color w:val="000000"/>
        </w:rPr>
      </w:pPr>
      <w:r>
        <w:rPr>
          <w:color w:val="000000"/>
        </w:rPr>
        <w:t xml:space="preserve">границы территорий объектов культурного наследия; </w:t>
      </w:r>
    </w:p>
    <w:p w14:paraId="0000008F">
      <w:pPr>
        <w:numPr>
          <w:ilvl w:val="0"/>
          <w:numId w:val="39"/>
        </w:numPr>
        <w:ind w:left="0" w:firstLine="709"/>
        <w:rPr>
          <w:color w:val="000000"/>
        </w:rPr>
      </w:pPr>
      <w:r>
        <w:rPr>
          <w:color w:val="000000"/>
        </w:rPr>
        <w:t xml:space="preserve">границы территорий исторических поселений федерального значения; </w:t>
      </w:r>
    </w:p>
    <w:p w14:paraId="00000090">
      <w:pPr>
        <w:numPr>
          <w:ilvl w:val="0"/>
          <w:numId w:val="39"/>
        </w:numPr>
        <w:ind w:left="0" w:firstLine="709"/>
        <w:rPr>
          <w:color w:val="000000"/>
        </w:rPr>
      </w:pPr>
      <w:r>
        <w:rPr>
          <w:color w:val="000000"/>
        </w:rPr>
        <w:t>границы территорий исторических поселений регионального значения.</w:t>
      </w:r>
    </w:p>
    <w:p w14:paraId="00000091">
      <w:pPr>
        <w:rPr>
          <w:color w:val="000000"/>
        </w:rPr>
      </w:pPr>
      <w:r>
        <w:rPr>
          <w:color w:val="000000"/>
        </w:rPr>
        <w:t>3.1. На карте градостроительного зонирования в обязательном порядке устанавливаю</w:t>
      </w:r>
      <w:r>
        <w:rPr>
          <w:color w:val="000000"/>
        </w:rPr>
        <w:t>т</w:t>
      </w:r>
      <w:r>
        <w:rPr>
          <w:color w:val="000000"/>
        </w:rPr>
        <w:t>ся территории, в границах которых предусматривается осуществление комплексного развития территории. Границы таких территорий устанавливаются по границам одной или нескольких территориальных зон и могут отображаться на отдельной карте. В отношении таких террит</w:t>
      </w:r>
      <w:r>
        <w:rPr>
          <w:color w:val="000000"/>
        </w:rPr>
        <w:t>о</w:t>
      </w:r>
      <w:r>
        <w:rPr>
          <w:color w:val="000000"/>
        </w:rPr>
        <w:t>рий заключается один или несколько договоров о комплексном развитии территории.</w:t>
      </w:r>
    </w:p>
    <w:p w14:paraId="00000092">
      <w:pPr>
        <w:rPr>
          <w:color w:val="000000"/>
        </w:rPr>
      </w:pPr>
      <w:r>
        <w:rPr>
          <w:color w:val="000000"/>
        </w:rPr>
        <w:t xml:space="preserve">3.2. </w:t>
      </w:r>
      <w:r>
        <w:rPr>
          <w:color w:val="000000"/>
        </w:rPr>
        <w:t>Если иное не предусмотрено нормативным правовым актом субъекта Российской Федерации, решение о комплексном развитии территории может быть принято в отношении территории, которая в соответствии с правилами землепользования и застройки на дату пр</w:t>
      </w:r>
      <w:r>
        <w:rPr>
          <w:color w:val="000000"/>
        </w:rPr>
        <w:t>и</w:t>
      </w:r>
      <w:r>
        <w:rPr>
          <w:color w:val="000000"/>
        </w:rPr>
        <w:t>нятия указанного решения не определена в качестве такой территории, либо в отношении те</w:t>
      </w:r>
      <w:r>
        <w:rPr>
          <w:color w:val="000000"/>
        </w:rPr>
        <w:t>р</w:t>
      </w:r>
      <w:r>
        <w:rPr>
          <w:color w:val="000000"/>
        </w:rPr>
        <w:t>ритории, границы которой не совпадают с границами территории, указанной в правилах зе</w:t>
      </w:r>
      <w:r>
        <w:rPr>
          <w:color w:val="000000"/>
        </w:rPr>
        <w:t>м</w:t>
      </w:r>
      <w:r>
        <w:rPr>
          <w:color w:val="000000"/>
        </w:rPr>
        <w:t>лепользования и застройки в качестве территории</w:t>
      </w:r>
      <w:r>
        <w:rPr>
          <w:color w:val="000000"/>
        </w:rPr>
        <w:t xml:space="preserve">, в </w:t>
      </w:r>
      <w:r>
        <w:rPr>
          <w:color w:val="000000"/>
        </w:rPr>
        <w:t>отношении</w:t>
      </w:r>
      <w:r>
        <w:rPr>
          <w:color w:val="000000"/>
        </w:rPr>
        <w:t xml:space="preserve"> которой допускается ос</w:t>
      </w:r>
      <w:r>
        <w:rPr>
          <w:color w:val="000000"/>
        </w:rPr>
        <w:t>у</w:t>
      </w:r>
      <w:r>
        <w:rPr>
          <w:color w:val="000000"/>
        </w:rPr>
        <w:t>ществление деятельности по ее комплексному развитию.</w:t>
      </w:r>
    </w:p>
    <w:p w14:paraId="00000093">
      <w:pPr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>3</w:t>
      </w:r>
      <w:r>
        <w:rPr>
          <w:color w:val="000000"/>
        </w:rPr>
        <w:t xml:space="preserve">. </w:t>
      </w:r>
      <w:r>
        <w:rPr>
          <w:color w:val="000000"/>
        </w:rPr>
        <w:t>На карте градостроительного зонирования отображаются территории, в границах которых предусматриваются требования к архитектурно-градостроительному облику объектов капитального строительства. Границы таких территорий могут не совпадать с границами те</w:t>
      </w:r>
      <w:r>
        <w:rPr>
          <w:color w:val="000000"/>
        </w:rPr>
        <w:t>р</w:t>
      </w:r>
      <w:r>
        <w:rPr>
          <w:color w:val="000000"/>
        </w:rPr>
        <w:t>риториальных зон и могут отображаться на отдельной карте.</w:t>
      </w:r>
    </w:p>
    <w:p w14:paraId="00000094">
      <w:pPr>
        <w:numPr>
          <w:ilvl w:val="0"/>
          <w:numId w:val="2"/>
        </w:numPr>
        <w:ind w:left="0" w:firstLine="709"/>
        <w:rPr>
          <w:color w:val="000000"/>
        </w:rPr>
      </w:pPr>
      <w:r>
        <w:rPr>
          <w:color w:val="000000"/>
        </w:rPr>
        <w:t>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14:paraId="00000095">
      <w:pPr>
        <w:rPr>
          <w:color w:val="000000"/>
        </w:rPr>
      </w:pPr>
      <w:r>
        <w:rPr>
          <w:color w:val="000000"/>
        </w:rPr>
        <w:t>1) виды разрешенного использования земельных участков и объектов капитального строительства:</w:t>
      </w:r>
    </w:p>
    <w:p w14:paraId="00000096">
      <w:pPr>
        <w:rPr>
          <w:color w:val="000000"/>
        </w:rPr>
      </w:pPr>
      <w:r>
        <w:rPr>
          <w:color w:val="000000"/>
        </w:rPr>
        <w:t>а) Основные виды разрешённого использования – виды разрешённого использования, которые правообладатели земельных участков и объектов капитального строительства, за и</w:t>
      </w:r>
      <w:r>
        <w:rPr>
          <w:color w:val="000000"/>
        </w:rPr>
        <w:t>с</w:t>
      </w:r>
      <w:r>
        <w:rPr>
          <w:color w:val="000000"/>
        </w:rPr>
        <w:t>ключением органов государственной власти, органов местного самоуправления, госуда</w:t>
      </w:r>
      <w:r>
        <w:rPr>
          <w:color w:val="000000"/>
        </w:rPr>
        <w:t>р</w:t>
      </w:r>
      <w:r>
        <w:rPr>
          <w:color w:val="000000"/>
        </w:rPr>
        <w:t>ственных и муниципальных учреждений, государственных и унитарных муниципальных предприятий, выбираются самостоятельно без дополнительных разрешений и согласований;</w:t>
      </w:r>
    </w:p>
    <w:p w14:paraId="00000097">
      <w:pPr>
        <w:rPr>
          <w:color w:val="000000"/>
        </w:rPr>
      </w:pPr>
      <w:r>
        <w:rPr>
          <w:color w:val="000000"/>
        </w:rPr>
        <w:t>б) Условно разрешённые виды использования</w:t>
      </w:r>
      <w:r>
        <w:rPr>
          <w:color w:val="000000"/>
        </w:rPr>
        <w:t xml:space="preserve"> </w:t>
      </w:r>
      <w:r>
        <w:rPr>
          <w:color w:val="000000"/>
        </w:rPr>
        <w:t>- виды разрешенного использования, разрешение о применении которых предоставляется в порядке, предусмотренных Главой 3 настоящих Правил;</w:t>
      </w:r>
    </w:p>
    <w:p w14:paraId="00000098">
      <w:pPr>
        <w:rPr>
          <w:color w:val="000000"/>
        </w:rPr>
      </w:pPr>
      <w:r>
        <w:rPr>
          <w:color w:val="000000"/>
        </w:rPr>
        <w:t xml:space="preserve">в) Вспомогательные виды </w:t>
      </w:r>
      <w:r>
        <w:rPr>
          <w:color w:val="000000"/>
        </w:rPr>
        <w:t>разрешённого</w:t>
      </w:r>
      <w:r>
        <w:rPr>
          <w:color w:val="000000"/>
        </w:rPr>
        <w:t xml:space="preserve"> использования – виды разрешённого испол</w:t>
      </w:r>
      <w:r>
        <w:rPr>
          <w:color w:val="000000"/>
        </w:rPr>
        <w:t>ь</w:t>
      </w:r>
      <w:r>
        <w:rPr>
          <w:color w:val="000000"/>
        </w:rPr>
        <w:t>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</w:r>
    </w:p>
    <w:p w14:paraId="00000099">
      <w:pPr>
        <w:numPr>
          <w:ilvl w:val="0"/>
          <w:numId w:val="40"/>
        </w:numPr>
        <w:ind w:left="0" w:firstLine="709"/>
        <w:rPr>
          <w:color w:val="000000"/>
        </w:rPr>
      </w:pPr>
      <w:r>
        <w:rPr>
          <w:color w:val="000000"/>
        </w:rPr>
        <w:t>Предельные минимальные и (или) максимальные) размеры земельных участков и предельные параметры разрешённого строительства, реконструкции объектов капитального строительства, которые включают:</w:t>
      </w:r>
    </w:p>
    <w:p w14:paraId="0000009A">
      <w:pPr>
        <w:rPr>
          <w:color w:val="000000"/>
        </w:rPr>
      </w:pPr>
      <w:r>
        <w:rPr>
          <w:color w:val="000000"/>
        </w:rPr>
        <w:t>а) предельные (минимальные и (или) максимальные) размеры земельных участков, в том числе их площадь;</w:t>
      </w:r>
    </w:p>
    <w:p w14:paraId="0000009B">
      <w:pPr>
        <w:rPr>
          <w:color w:val="000000"/>
        </w:rPr>
      </w:pPr>
      <w:r>
        <w:rPr>
          <w:color w:val="000000"/>
        </w:rPr>
        <w:t>б) минимальные отступы от границ земельных участков в целях определения мест д</w:t>
      </w:r>
      <w:r>
        <w:rPr>
          <w:color w:val="000000"/>
        </w:rPr>
        <w:t>о</w:t>
      </w:r>
      <w:r>
        <w:rPr>
          <w:color w:val="000000"/>
        </w:rPr>
        <w:t>пустимого размещения зданий, строений, сооружений, за пределами которых запрещено стр</w:t>
      </w:r>
      <w:r>
        <w:rPr>
          <w:color w:val="000000"/>
        </w:rPr>
        <w:t>о</w:t>
      </w:r>
      <w:r>
        <w:rPr>
          <w:color w:val="000000"/>
        </w:rPr>
        <w:t>ительство зданий, строений, сооружений;</w:t>
      </w:r>
    </w:p>
    <w:p w14:paraId="0000009C">
      <w:pPr>
        <w:rPr>
          <w:color w:val="000000"/>
        </w:rPr>
      </w:pPr>
      <w:r>
        <w:rPr>
          <w:color w:val="000000"/>
        </w:rPr>
        <w:t>в) предельное количество этажей или предельную высоту зданий, строений, сооруж</w:t>
      </w:r>
      <w:r>
        <w:rPr>
          <w:color w:val="000000"/>
        </w:rPr>
        <w:t>е</w:t>
      </w:r>
      <w:r>
        <w:rPr>
          <w:color w:val="000000"/>
        </w:rPr>
        <w:t>ний;</w:t>
      </w:r>
    </w:p>
    <w:p w14:paraId="0000009D">
      <w:pPr>
        <w:rPr>
          <w:color w:val="000000"/>
        </w:rPr>
      </w:pPr>
      <w:r>
        <w:rPr>
          <w:color w:val="000000"/>
        </w:rPr>
        <w:t>г)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</w:r>
    </w:p>
    <w:p w14:paraId="0000009E">
      <w:pPr>
        <w:rPr>
          <w:color w:val="000000"/>
        </w:rPr>
      </w:pPr>
      <w:r>
        <w:rPr>
          <w:color w:val="000000"/>
        </w:rPr>
        <w:t>2.1)</w:t>
      </w:r>
      <w:r>
        <w:t xml:space="preserve"> </w:t>
      </w:r>
      <w:r>
        <w:t>Т</w:t>
      </w:r>
      <w:r>
        <w:rPr>
          <w:color w:val="000000"/>
        </w:rPr>
        <w:t>ребования к архитектурно-градостроительному облику объектов капитального строительства;</w:t>
      </w:r>
    </w:p>
    <w:p w14:paraId="0000009F">
      <w:pPr>
        <w:rPr>
          <w:color w:val="000000"/>
        </w:rPr>
      </w:pPr>
      <w:r>
        <w:rPr>
          <w:color w:val="000000"/>
        </w:rPr>
        <w:t>3) ограничения использования земельных участков и объектов капитального строител</w:t>
      </w:r>
      <w:r>
        <w:rPr>
          <w:color w:val="000000"/>
        </w:rPr>
        <w:t>ь</w:t>
      </w:r>
      <w:r>
        <w:rPr>
          <w:color w:val="000000"/>
        </w:rPr>
        <w:t>ства, устанавливаемые в соответствии с законодательством Российской Федерации;</w:t>
      </w:r>
    </w:p>
    <w:p w14:paraId="000000A0">
      <w:pPr>
        <w:rPr>
          <w:color w:val="000000"/>
          <w:sz w:val="28"/>
          <w:szCs w:val="28"/>
        </w:rPr>
      </w:pPr>
      <w:r>
        <w:rPr>
          <w:color w:val="000000"/>
        </w:rPr>
        <w:t>4) 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случае, если в границах территориальной зоны, применительно к которой уст</w:t>
      </w:r>
      <w:r>
        <w:rPr>
          <w:color w:val="000000"/>
        </w:rPr>
        <w:t>а</w:t>
      </w:r>
      <w:r>
        <w:rPr>
          <w:color w:val="000000"/>
        </w:rPr>
        <w:t>навливается градостроительный регламент, предусматривается осуществление деятельности по комплексному и устойчивому развитию территории.</w:t>
      </w:r>
    </w:p>
    <w:p w14:paraId="000000A1">
      <w:pPr>
        <w:rPr>
          <w:color w:val="000000"/>
        </w:rPr>
      </w:pPr>
      <w:r>
        <w:rPr>
          <w:color w:val="000000"/>
        </w:rPr>
        <w:t>Обязательным приложением к правилам землепользования и застройки являются св</w:t>
      </w:r>
      <w:r>
        <w:rPr>
          <w:color w:val="000000"/>
        </w:rPr>
        <w:t>е</w:t>
      </w:r>
      <w:r>
        <w:rPr>
          <w:color w:val="000000"/>
        </w:rPr>
        <w:t>дения о границах территориальных зон, которые должны содержать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</w:t>
      </w:r>
      <w:r>
        <w:rPr>
          <w:color w:val="000000"/>
        </w:rPr>
        <w:t>е</w:t>
      </w:r>
      <w:r>
        <w:rPr>
          <w:color w:val="000000"/>
        </w:rPr>
        <w:t>движимости. Органы местного самоуправления поселения также вправе подготовить текст</w:t>
      </w:r>
      <w:r>
        <w:rPr>
          <w:color w:val="000000"/>
        </w:rPr>
        <w:t>о</w:t>
      </w:r>
      <w:r>
        <w:rPr>
          <w:color w:val="000000"/>
        </w:rPr>
        <w:t>вое описание местоположения границ территориальных зон.</w:t>
      </w:r>
      <w:r>
        <w:rPr>
          <w:color w:val="000000"/>
        </w:rPr>
        <w:t xml:space="preserve"> </w:t>
      </w:r>
    </w:p>
    <w:p w14:paraId="000000A2">
      <w:pPr>
        <w:rPr>
          <w:color w:val="000000" w:themeColor="text1"/>
        </w:rPr>
      </w:pPr>
      <w:r>
        <w:rPr>
          <w:color w:val="000000" w:themeColor="text1"/>
        </w:rPr>
        <w:t>Требования к архитектурно-градостроительному облику объекта капитального стро</w:t>
      </w:r>
      <w:r>
        <w:rPr>
          <w:color w:val="000000" w:themeColor="text1"/>
        </w:rPr>
        <w:t>и</w:t>
      </w:r>
      <w:r>
        <w:rPr>
          <w:color w:val="000000" w:themeColor="text1"/>
        </w:rPr>
        <w:t>тельства включают в себя требования к объемно-пространственным, архитектурно-стилистическим и иным характеристикам объекта капитального строительства, которые уст</w:t>
      </w:r>
      <w:r>
        <w:rPr>
          <w:color w:val="000000" w:themeColor="text1"/>
        </w:rPr>
        <w:t>а</w:t>
      </w:r>
      <w:r>
        <w:rPr>
          <w:color w:val="000000" w:themeColor="text1"/>
        </w:rPr>
        <w:t xml:space="preserve">навливаются Правительством Российской Федерации. </w:t>
      </w:r>
    </w:p>
    <w:p w14:paraId="000000A3">
      <w:pPr>
        <w:spacing w:line="180" w:lineRule="atLeast"/>
        <w:rPr/>
      </w:pPr>
      <w:r>
        <w:t xml:space="preserve">5. </w:t>
      </w:r>
      <w:r>
        <w:t xml:space="preserve">Утвержденные правила землепользования и застройки </w:t>
      </w:r>
      <w:r>
        <w:t>муниципального образования</w:t>
      </w:r>
      <w:r>
        <w:t xml:space="preserve"> </w:t>
      </w:r>
      <w:r>
        <w:t xml:space="preserve">не применяются в части, противоречащей ограничениям использования земельных участков и (или) расположенных на них объектов недвижимости и осуществления экономической и иной деятельности, установленным на </w:t>
      </w:r>
      <w:r>
        <w:t>приаэродромной</w:t>
      </w:r>
      <w:r>
        <w:t xml:space="preserve"> территории, в границах которых полностью или частично расположена </w:t>
      </w:r>
      <w:r>
        <w:t>приаэродромная</w:t>
      </w:r>
      <w:r>
        <w:t xml:space="preserve"> территория, установленная в соответствии с Во</w:t>
      </w:r>
      <w:r>
        <w:t>з</w:t>
      </w:r>
      <w:r>
        <w:t xml:space="preserve">душным </w:t>
      </w:r>
      <w:r>
        <w:fldChar w:fldCharType="begin"/>
      </w:r>
      <w:r>
        <w:instrText xml:space="preserve">HYPERLINK "https://login.consultant.ru/link/?req=doc&amp;demo=2&amp;base=LAW&amp;n=442400&amp;date=10.10.2023" </w:instrText>
      </w:r>
      <w:r>
        <w:fldChar w:fldCharType="separate"/>
      </w:r>
      <w:r>
        <w:t>кодексом</w:t>
      </w:r>
      <w:r>
        <w:fldChar w:fldCharType="end"/>
      </w:r>
      <w:r>
        <w:t xml:space="preserve"> </w:t>
      </w:r>
      <w:r>
        <w:t>Российской Федерации (далее - ограничения использования объектов н</w:t>
      </w:r>
      <w:r>
        <w:t>е</w:t>
      </w:r>
      <w:r>
        <w:t xml:space="preserve">движимости, установленные на </w:t>
      </w:r>
      <w:r>
        <w:t>приаэродромной</w:t>
      </w:r>
      <w:r>
        <w:t xml:space="preserve"> территории).</w:t>
      </w:r>
    </w:p>
    <w:p w14:paraId="000000A4">
      <w:pPr>
        <w:spacing w:before="105" w:line="180" w:lineRule="atLeast"/>
        <w:rPr/>
      </w:pPr>
      <w:r>
        <w:t>6. Срок приведения утвержденных правил землепользования и застройки в соотве</w:t>
      </w:r>
      <w:r>
        <w:t>т</w:t>
      </w:r>
      <w:r>
        <w:t xml:space="preserve">ствие с ограничениями использования объектов недвижимости, установленными на </w:t>
      </w:r>
      <w:r>
        <w:t>приаэр</w:t>
      </w:r>
      <w:r>
        <w:t>о</w:t>
      </w:r>
      <w:r>
        <w:t>дромной</w:t>
      </w:r>
      <w:r>
        <w:t xml:space="preserve"> территории, не может превышать шесть месяцев.</w:t>
      </w:r>
    </w:p>
    <w:p w14:paraId="000000A5">
      <w:pPr>
        <w:rPr>
          <w:color w:val="000000"/>
        </w:rPr>
      </w:pPr>
    </w:p>
    <w:p w14:paraId="000000A6">
      <w:pPr>
        <w:pStyle w:val="Heading3"/>
        <w:rPr/>
      </w:pPr>
      <w:bookmarkStart w:id="32" w:name="_Toc89422057"/>
      <w:bookmarkStart w:id="33" w:name="_Toc159317541"/>
      <w:r>
        <w:t>Статья 7. Ограничения использования земельных участков и объектов кап</w:t>
      </w:r>
      <w:r>
        <w:t>и</w:t>
      </w:r>
      <w:r>
        <w:t>тального строительства, устанавливаемые в соответствии с законодательством Росси</w:t>
      </w:r>
      <w:r>
        <w:t>й</w:t>
      </w:r>
      <w:r>
        <w:t>ской Федерации.</w:t>
      </w:r>
      <w:bookmarkEnd w:id="32"/>
      <w:bookmarkEnd w:id="33"/>
    </w:p>
    <w:p w14:paraId="000000A7">
      <w:r>
        <w:t>В градостроительных регламентах указаны ограничения использования земельных участков и объектов капитального строительства, ранее установленные в предусмотренном законодательством порядке. Указанные ограничения могут относиться к видам разрешённого использования земельных участков и объектов капитального строительства, к предельным п</w:t>
      </w:r>
      <w:r>
        <w:t>а</w:t>
      </w:r>
      <w:r>
        <w:t>раметрам разрешённого строительства, реконструкции объектов капитального строительства, к другим условиям использования земельных участков, строительства, реконструкции объе</w:t>
      </w:r>
      <w:r>
        <w:t>к</w:t>
      </w:r>
      <w:r>
        <w:t>тов капитального строительства.</w:t>
      </w:r>
    </w:p>
    <w:p w14:paraId="000000A8">
      <w:pPr>
        <w:pStyle w:val="Heading3"/>
        <w:rPr/>
      </w:pPr>
      <w:bookmarkStart w:id="34" w:name="_Toc89422058"/>
      <w:bookmarkStart w:id="35" w:name="_Toc159317542"/>
      <w:r>
        <w:t>Статья 8. Ответственность за нарушение правил.</w:t>
      </w:r>
      <w:bookmarkEnd w:id="34"/>
      <w:bookmarkEnd w:id="35"/>
    </w:p>
    <w:p w14:paraId="000000A9">
      <w:r>
        <w:t>Лица, виновные в нарушении настоящих Правил, несут ответственность в порядке, предусмотренном законодательством Российской Федерации.</w:t>
      </w:r>
    </w:p>
    <w:p w14:paraId="000000AA"/>
    <w:p w14:paraId="000000AB">
      <w:pPr>
        <w:pStyle w:val="Heading2"/>
        <w:rPr>
          <w:rFonts w:eastAsia="GOST Type AU"/>
          <w:lang w:eastAsia="ar-SA"/>
        </w:rPr>
      </w:pPr>
      <w:bookmarkStart w:id="36" w:name="_Toc200537090"/>
      <w:bookmarkStart w:id="37" w:name="_Toc208205272"/>
      <w:bookmarkStart w:id="38" w:name="_Toc427840782"/>
      <w:bookmarkStart w:id="39" w:name="_Toc427840964"/>
      <w:bookmarkStart w:id="40" w:name="_Toc89422059"/>
      <w:bookmarkStart w:id="41" w:name="_Toc159317543"/>
      <w:r>
        <w:rPr>
          <w:rFonts w:eastAsia="GOST Type AU"/>
          <w:lang w:eastAsia="ar-SA"/>
        </w:rPr>
        <w:t xml:space="preserve">Глава 2. </w:t>
      </w:r>
      <w:bookmarkEnd w:id="36"/>
      <w:bookmarkEnd w:id="37"/>
      <w:bookmarkEnd w:id="38"/>
      <w:bookmarkEnd w:id="39"/>
      <w:r>
        <w:rPr>
          <w:rFonts w:eastAsia="GOST Type AU"/>
          <w:lang w:eastAsia="ar-SA"/>
        </w:rPr>
        <w:t>Положения о регулировании землепользования и застройки орг</w:t>
      </w:r>
      <w:r>
        <w:rPr>
          <w:rFonts w:eastAsia="GOST Type AU"/>
          <w:lang w:eastAsia="ar-SA"/>
        </w:rPr>
        <w:t>а</w:t>
      </w:r>
      <w:r>
        <w:rPr>
          <w:rFonts w:eastAsia="GOST Type AU"/>
          <w:lang w:eastAsia="ar-SA"/>
        </w:rPr>
        <w:t>нами местного самоуправления</w:t>
      </w:r>
      <w:bookmarkEnd w:id="40"/>
      <w:bookmarkEnd w:id="41"/>
    </w:p>
    <w:p w14:paraId="000000AC">
      <w:pPr>
        <w:pStyle w:val="Heading3"/>
        <w:rPr/>
      </w:pPr>
      <w:bookmarkStart w:id="42" w:name="_Toc89422060"/>
      <w:bookmarkStart w:id="43" w:name="_Toc159317544"/>
      <w:r>
        <w:t>Статья 9. Полномочия органов местного самоуправления.</w:t>
      </w:r>
      <w:bookmarkEnd w:id="42"/>
      <w:bookmarkEnd w:id="43"/>
    </w:p>
    <w:p w14:paraId="000000AD">
      <w:r>
        <w:t>Полномочия Совета депутатов муниципального образования</w:t>
      </w:r>
      <w:r>
        <w:t xml:space="preserve">  </w:t>
      </w:r>
      <w:r>
        <w:t>Берсеневское</w:t>
      </w:r>
      <w:r>
        <w:t xml:space="preserve"> сельское поселение</w:t>
      </w:r>
      <w:r>
        <w:t xml:space="preserve"> </w:t>
      </w:r>
      <w:r>
        <w:t>Лямбирского</w:t>
      </w:r>
      <w:r>
        <w:t xml:space="preserve"> муниципального района</w:t>
      </w:r>
      <w:r>
        <w:t xml:space="preserve"> Республики Мордовия</w:t>
      </w:r>
      <w:r>
        <w:t xml:space="preserve"> (далее – Совет деп</w:t>
      </w:r>
      <w:r>
        <w:t>у</w:t>
      </w:r>
      <w:r>
        <w:t xml:space="preserve">татов), главы </w:t>
      </w:r>
      <w:r>
        <w:t xml:space="preserve">администрации </w:t>
      </w:r>
      <w:r>
        <w:t>Берсеневского</w:t>
      </w:r>
      <w:r>
        <w:t xml:space="preserve"> сельского поселения </w:t>
      </w:r>
      <w:r>
        <w:t>Лямбирского</w:t>
      </w:r>
      <w:r>
        <w:t xml:space="preserve"> муниципал</w:t>
      </w:r>
      <w:r>
        <w:t>ь</w:t>
      </w:r>
      <w:r>
        <w:t>ного района</w:t>
      </w:r>
      <w:r>
        <w:t>, администрации в области землепользования и з</w:t>
      </w:r>
      <w:r>
        <w:t>а</w:t>
      </w:r>
      <w:r>
        <w:t>стройки определяются фед</w:t>
      </w:r>
      <w:r>
        <w:t>е</w:t>
      </w:r>
      <w:r>
        <w:t xml:space="preserve">ральными законами, законами </w:t>
      </w:r>
      <w:r>
        <w:t>Республики Мордовия</w:t>
      </w:r>
      <w:r>
        <w:t>, Уставом</w:t>
      </w:r>
      <w:r>
        <w:t xml:space="preserve"> </w:t>
      </w:r>
      <w:r>
        <w:t>Берсеневского</w:t>
      </w:r>
      <w:r>
        <w:t xml:space="preserve"> сельского пос</w:t>
      </w:r>
      <w:r>
        <w:t>е</w:t>
      </w:r>
      <w:r>
        <w:t>ления</w:t>
      </w:r>
      <w:r>
        <w:t xml:space="preserve"> </w:t>
      </w:r>
      <w:r>
        <w:t>Лямбирского</w:t>
      </w:r>
      <w:r>
        <w:t xml:space="preserve"> муниципального района</w:t>
      </w:r>
      <w:r>
        <w:t xml:space="preserve"> Республики Мордовия </w:t>
      </w:r>
      <w:r>
        <w:t>(далее – Устав).</w:t>
      </w:r>
    </w:p>
    <w:p w14:paraId="000000AE">
      <w:pPr>
        <w:pStyle w:val="Heading3"/>
        <w:rPr/>
      </w:pPr>
      <w:bookmarkStart w:id="44" w:name="_Toc130098620"/>
      <w:bookmarkStart w:id="45" w:name="_Toc200537092"/>
      <w:bookmarkStart w:id="46" w:name="_Toc208205274"/>
      <w:bookmarkStart w:id="47" w:name="_Toc427840784"/>
      <w:bookmarkStart w:id="48" w:name="_Toc427840966"/>
      <w:bookmarkStart w:id="49" w:name="_Toc465786386"/>
      <w:bookmarkStart w:id="50" w:name="_Toc89422061"/>
      <w:bookmarkStart w:id="51" w:name="_Toc159317545"/>
      <w:r>
        <w:t xml:space="preserve">Статья 10. </w:t>
      </w:r>
      <w:bookmarkEnd w:id="44"/>
      <w:bookmarkEnd w:id="45"/>
      <w:bookmarkEnd w:id="46"/>
      <w:bookmarkEnd w:id="47"/>
      <w:bookmarkEnd w:id="48"/>
      <w:bookmarkEnd w:id="49"/>
      <w:r>
        <w:t>Комиссия по подготовке проекта правил землепользования и з</w:t>
      </w:r>
      <w:r>
        <w:t>а</w:t>
      </w:r>
      <w:r>
        <w:t>стройки</w:t>
      </w:r>
      <w:bookmarkEnd w:id="50"/>
      <w:bookmarkEnd w:id="51"/>
    </w:p>
    <w:p w14:paraId="000000AF">
      <w:r>
        <w:t xml:space="preserve">1. </w:t>
      </w:r>
      <w:r>
        <w:t>Комиссия по подготовке проекта Правил землепользования и застройки (далее - К</w:t>
      </w:r>
      <w:r>
        <w:t>о</w:t>
      </w:r>
      <w:r>
        <w:t>миссия) формируется органом местного самоуправления в целях подготовки проектов о вн</w:t>
      </w:r>
      <w:r>
        <w:t>е</w:t>
      </w:r>
      <w:r>
        <w:t>сении изменения в Правила землепользования и застройки, рекомендаций по вопросам пред</w:t>
      </w:r>
      <w:r>
        <w:t>о</w:t>
      </w:r>
      <w:r>
        <w:t>ставления разрешений на условно разрешенный вид использования земельного участка или отклонения объектов капитального строительства от предельных параметров строительства, реконструкции объектов капитального строительства.</w:t>
      </w:r>
    </w:p>
    <w:p w14:paraId="000000B0">
      <w:r>
        <w:t>2. Комиссия осуществляет свою деятельность согласно Градостроительному кодексу Российской Федерации</w:t>
      </w:r>
      <w:r>
        <w:t>.</w:t>
      </w:r>
    </w:p>
    <w:p w14:paraId="000000B1">
      <w:r>
        <w:t xml:space="preserve">3. Состав комиссии и порядок ее деятельности утверждается постановлением </w:t>
      </w:r>
      <w:r>
        <w:t>главы а</w:t>
      </w:r>
      <w:r>
        <w:t>д</w:t>
      </w:r>
      <w:r>
        <w:t xml:space="preserve">министрации </w:t>
      </w:r>
      <w:r>
        <w:t>Берсеневского</w:t>
      </w:r>
      <w:r>
        <w:t xml:space="preserve"> сельского поселения</w:t>
      </w:r>
      <w:r>
        <w:t xml:space="preserve"> в соответствии с Уставом</w:t>
      </w:r>
      <w:r>
        <w:t xml:space="preserve"> </w:t>
      </w:r>
      <w:r>
        <w:t>Берсеневского</w:t>
      </w:r>
      <w:r>
        <w:t xml:space="preserve"> сельского поселения</w:t>
      </w:r>
      <w:r>
        <w:t xml:space="preserve"> </w:t>
      </w:r>
      <w:r>
        <w:t>Лямбирского</w:t>
      </w:r>
      <w:r>
        <w:t xml:space="preserve"> муниципального район</w:t>
      </w:r>
      <w:r>
        <w:t xml:space="preserve"> Республики Мордовия и настоящ</w:t>
      </w:r>
      <w:r>
        <w:t>и</w:t>
      </w:r>
      <w:r>
        <w:t>ми Правилами.</w:t>
      </w:r>
      <w:r>
        <w:t xml:space="preserve"> </w:t>
      </w:r>
    </w:p>
    <w:p w14:paraId="000000B2">
      <w:pPr>
        <w:pStyle w:val="Heading2"/>
        <w:spacing w:before="240"/>
        <w:rPr/>
      </w:pPr>
      <w:bookmarkStart w:id="52" w:name="_Toc427840776"/>
      <w:bookmarkStart w:id="53" w:name="_Toc427840958"/>
      <w:bookmarkStart w:id="54" w:name="_Toc89422062"/>
      <w:bookmarkStart w:id="55" w:name="_Toc159317546"/>
      <w:r>
        <w:rPr>
          <w:rFonts w:eastAsia="GOST Type AU"/>
          <w:lang w:eastAsia="ar-SA"/>
        </w:rPr>
        <w:t xml:space="preserve">Глава 3. </w:t>
      </w:r>
      <w:bookmarkEnd w:id="22"/>
      <w:bookmarkEnd w:id="23"/>
      <w:bookmarkEnd w:id="52"/>
      <w:bookmarkEnd w:id="53"/>
      <w:r>
        <w:rPr>
          <w:rFonts w:eastAsia="GOST Type AU"/>
          <w:lang w:eastAsia="ar-SA"/>
        </w:rPr>
        <w:t>Положения об изменении видов разрешенного использования з</w:t>
      </w:r>
      <w:r>
        <w:rPr>
          <w:rFonts w:eastAsia="GOST Type AU"/>
          <w:lang w:eastAsia="ar-SA"/>
        </w:rPr>
        <w:t>е</w:t>
      </w:r>
      <w:r>
        <w:rPr>
          <w:rFonts w:eastAsia="GOST Type AU"/>
          <w:lang w:eastAsia="ar-SA"/>
        </w:rPr>
        <w:t>мельных участков и объектов капитального строительства физическими и юридическими лицами</w:t>
      </w:r>
      <w:r>
        <w:t>.</w:t>
      </w:r>
      <w:bookmarkEnd w:id="54"/>
      <w:bookmarkEnd w:id="55"/>
    </w:p>
    <w:p w14:paraId="000000B3">
      <w:pPr>
        <w:pStyle w:val="Heading3"/>
        <w:rPr/>
      </w:pPr>
      <w:bookmarkStart w:id="56" w:name="_Toc200537079"/>
      <w:bookmarkStart w:id="57" w:name="_Toc208205267"/>
      <w:bookmarkStart w:id="58" w:name="_Toc427840777"/>
      <w:bookmarkStart w:id="59" w:name="_Toc427840959"/>
      <w:bookmarkStart w:id="60" w:name="_Toc465786388"/>
      <w:bookmarkStart w:id="61" w:name="_Toc89422063"/>
      <w:bookmarkStart w:id="62" w:name="_Toc159317547"/>
      <w:r>
        <w:t xml:space="preserve">Статья 11. </w:t>
      </w:r>
      <w:bookmarkEnd w:id="56"/>
      <w:bookmarkEnd w:id="57"/>
      <w:bookmarkEnd w:id="58"/>
      <w:bookmarkEnd w:id="59"/>
      <w:bookmarkEnd w:id="60"/>
      <w:r>
        <w:t>Общие положения об изменении видов разрешённого использования земельных участков и объектов капитального строительства физическими и юридич</w:t>
      </w:r>
      <w:r>
        <w:t>е</w:t>
      </w:r>
      <w:r>
        <w:t>скими лицами</w:t>
      </w:r>
      <w:bookmarkEnd w:id="61"/>
      <w:bookmarkEnd w:id="62"/>
    </w:p>
    <w:p w14:paraId="000000B4">
      <w:pPr>
        <w:shd w:val="clear" w:color="auto" w:fill="ffffff"/>
        <w:tabs>
          <w:tab w:val="left" w:pos="6847"/>
          <w:tab w:val="left" w:leader="dot" w:pos="8611"/>
        </w:tabs>
        <w:rPr>
          <w:color w:val="000000"/>
        </w:rPr>
      </w:pPr>
      <w:r>
        <w:rPr>
          <w:color w:val="000000"/>
        </w:rPr>
        <w:t>1.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</w:t>
      </w:r>
      <w:r>
        <w:rPr>
          <w:color w:val="000000"/>
        </w:rPr>
        <w:t>т</w:t>
      </w:r>
      <w:r>
        <w:rPr>
          <w:color w:val="000000"/>
        </w:rPr>
        <w:t>ствии с градостроительным регламентом при условии соблюдения требований технических регламентов.</w:t>
      </w:r>
    </w:p>
    <w:p w14:paraId="000000B5">
      <w:pPr>
        <w:shd w:val="clear" w:color="auto" w:fill="ffffff"/>
        <w:tabs>
          <w:tab w:val="left" w:pos="6847"/>
          <w:tab w:val="left" w:leader="dot" w:pos="8611"/>
        </w:tabs>
        <w:rPr>
          <w:color w:val="ff0000"/>
        </w:rPr>
      </w:pPr>
      <w:bookmarkStart w:id="63" w:name="sub_3704"/>
      <w:r>
        <w:rPr>
          <w:color w:val="000000"/>
        </w:rPr>
        <w:t>2</w:t>
      </w:r>
      <w:r>
        <w:rPr>
          <w:color w:val="106bbe"/>
        </w:rPr>
        <w:t>.</w:t>
      </w:r>
      <w:r>
        <w:t xml:space="preserve"> Основные и вспомогательные виды разрешенного использования земельных учас</w:t>
      </w:r>
      <w:r>
        <w:t>т</w:t>
      </w:r>
      <w:r>
        <w:t>ков и объектов капитального строительства правообладателями земельных участков и объе</w:t>
      </w:r>
      <w:r>
        <w:t>к</w:t>
      </w:r>
      <w:r>
        <w:t>тов капитального строительства, за исключением органов государственной власти, органов местного самоуправления,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 и согласования.</w:t>
      </w:r>
      <w:bookmarkEnd w:id="63"/>
    </w:p>
    <w:p w14:paraId="000000B6">
      <w:pPr>
        <w:shd w:val="clear" w:color="auto" w:fill="ffffff"/>
        <w:tabs>
          <w:tab w:val="left" w:pos="6847"/>
          <w:tab w:val="left" w:leader="dot" w:pos="8611"/>
        </w:tabs>
        <w:rPr>
          <w:color w:val="000000"/>
        </w:rPr>
      </w:pPr>
      <w:r>
        <w:rPr>
          <w:color w:val="000000"/>
        </w:rPr>
        <w:t xml:space="preserve">3. Изменение видов разрешенного использования земельных участков и объектов </w:t>
      </w:r>
      <w:r>
        <w:rPr>
          <w:color w:val="000000"/>
        </w:rPr>
        <w:t>кап</w:t>
      </w:r>
      <w:r>
        <w:rPr>
          <w:color w:val="000000"/>
        </w:rPr>
        <w:t>и</w:t>
      </w:r>
      <w:r>
        <w:rPr>
          <w:color w:val="000000"/>
        </w:rPr>
        <w:t>тального строительства органами государственной власти, органами местного самоуправления</w:t>
      </w:r>
      <w:r>
        <w:rPr>
          <w:color w:val="000000"/>
        </w:rPr>
        <w:t xml:space="preserve"> </w:t>
      </w:r>
      <w:r>
        <w:rPr>
          <w:color w:val="000000"/>
        </w:rPr>
        <w:t>Берсеневского</w:t>
      </w:r>
      <w:r>
        <w:t xml:space="preserve"> сельского поселения</w:t>
      </w:r>
      <w:r>
        <w:t xml:space="preserve"> </w:t>
      </w:r>
      <w:r>
        <w:t>Лямбирского</w:t>
      </w:r>
      <w:r>
        <w:t xml:space="preserve"> муниципального района</w:t>
      </w:r>
      <w:r>
        <w:rPr>
          <w:color w:val="000000"/>
        </w:rPr>
        <w:t>,</w:t>
      </w:r>
      <w:r>
        <w:rPr>
          <w:color w:val="000000"/>
        </w:rPr>
        <w:t xml:space="preserve"> </w:t>
      </w:r>
      <w:r>
        <w:rPr>
          <w:color w:val="000000"/>
        </w:rPr>
        <w:t>Лямбирского</w:t>
      </w:r>
      <w:r>
        <w:rPr>
          <w:color w:val="000000"/>
        </w:rPr>
        <w:t xml:space="preserve"> м</w:t>
      </w:r>
      <w:r>
        <w:rPr>
          <w:color w:val="000000"/>
        </w:rPr>
        <w:t>у</w:t>
      </w:r>
      <w:r>
        <w:rPr>
          <w:color w:val="000000"/>
        </w:rPr>
        <w:t>ниципального района</w:t>
      </w:r>
      <w:r>
        <w:t>,</w:t>
      </w:r>
      <w:r>
        <w:rPr>
          <w:color w:val="000000"/>
        </w:rPr>
        <w:t xml:space="preserve"> </w:t>
      </w:r>
      <w:r>
        <w:rPr>
          <w:color w:val="000000"/>
        </w:rPr>
        <w:t>государственными</w:t>
      </w:r>
      <w:r>
        <w:rPr>
          <w:color w:val="000000"/>
        </w:rPr>
        <w:t xml:space="preserve"> и муниципальными учреждениями, государстве</w:t>
      </w:r>
      <w:r>
        <w:rPr>
          <w:color w:val="000000"/>
        </w:rPr>
        <w:t>н</w:t>
      </w:r>
      <w:r>
        <w:rPr>
          <w:color w:val="000000"/>
        </w:rPr>
        <w:t>ными и муниципальными предприятиями осуществляется в соответствии с действующим з</w:t>
      </w:r>
      <w:r>
        <w:rPr>
          <w:color w:val="000000"/>
        </w:rPr>
        <w:t>а</w:t>
      </w:r>
      <w:r>
        <w:rPr>
          <w:color w:val="000000"/>
        </w:rPr>
        <w:t>конодательством.</w:t>
      </w:r>
    </w:p>
    <w:p w14:paraId="000000B7">
      <w:pPr>
        <w:shd w:val="clear" w:color="auto" w:fill="ffffff"/>
        <w:tabs>
          <w:tab w:val="left" w:pos="6847"/>
          <w:tab w:val="left" w:leader="dot" w:pos="8611"/>
        </w:tabs>
        <w:rPr>
          <w:color w:val="000000"/>
        </w:rPr>
      </w:pPr>
      <w:r>
        <w:rPr>
          <w:color w:val="000000"/>
        </w:rPr>
        <w:t>4. Решения о предоставлении разрешения на условно разрешенный вид использования земельного участка или объекта капитального строительства осуществляется в порядке, предусмотренном статьей 12 настоящих Правил и в соответствии со статьей 39 Градостро</w:t>
      </w:r>
      <w:r>
        <w:rPr>
          <w:color w:val="000000"/>
        </w:rPr>
        <w:t>и</w:t>
      </w:r>
      <w:r>
        <w:rPr>
          <w:color w:val="000000"/>
        </w:rPr>
        <w:t>тельного кодекса Российской Федерации.</w:t>
      </w:r>
    </w:p>
    <w:p w14:paraId="000000B8">
      <w:pPr>
        <w:shd w:val="clear" w:color="auto" w:fill="ffffff"/>
        <w:tabs>
          <w:tab w:val="left" w:pos="6847"/>
          <w:tab w:val="left" w:leader="dot" w:pos="8611"/>
        </w:tabs>
        <w:rPr>
          <w:color w:val="000000"/>
        </w:rPr>
      </w:pPr>
      <w:r>
        <w:rPr>
          <w:color w:val="000000"/>
        </w:rPr>
        <w:t>5. Решения об изменении одного вида разрешенного использования земельных учас</w:t>
      </w:r>
      <w:r>
        <w:rPr>
          <w:color w:val="000000"/>
        </w:rPr>
        <w:t>т</w:t>
      </w:r>
      <w:r>
        <w:rPr>
          <w:color w:val="000000"/>
        </w:rPr>
        <w:t>ков и объектов капитального строительства, расположенных на землях, на которые действие градостроительных регламентов не распространяется или для которых градостроительные р</w:t>
      </w:r>
      <w:r>
        <w:rPr>
          <w:color w:val="000000"/>
        </w:rPr>
        <w:t>е</w:t>
      </w:r>
      <w:r>
        <w:rPr>
          <w:color w:val="000000"/>
        </w:rPr>
        <w:t>гламенты не устанавливаются, на другой вид такого использования принимаются в соотве</w:t>
      </w:r>
      <w:r>
        <w:rPr>
          <w:color w:val="000000"/>
        </w:rPr>
        <w:t>т</w:t>
      </w:r>
      <w:r>
        <w:rPr>
          <w:color w:val="000000"/>
        </w:rPr>
        <w:t>ствии с федеральными законами.</w:t>
      </w:r>
    </w:p>
    <w:p w14:paraId="000000B9">
      <w:r>
        <w:t>6. Изменение видов разрешенного использования объектов капитального строител</w:t>
      </w:r>
      <w:r>
        <w:t>ь</w:t>
      </w:r>
      <w:r>
        <w:t>ства, связанное с переводом помещений из категории жилых помещений в категорию неж</w:t>
      </w:r>
      <w:r>
        <w:t>и</w:t>
      </w:r>
      <w:r>
        <w:t>лых помещений или из категории нежилых помещений в категорию жилых помещений, ос</w:t>
      </w:r>
      <w:r>
        <w:t>у</w:t>
      </w:r>
      <w:r>
        <w:t>ществляется в соответствии с жилищным законодательством.</w:t>
      </w:r>
    </w:p>
    <w:p w14:paraId="000000BA">
      <w:pPr>
        <w:shd w:val="clear" w:color="auto" w:fill="ffffff"/>
        <w:tabs>
          <w:tab w:val="left" w:pos="6847"/>
          <w:tab w:val="left" w:leader="dot" w:pos="8611"/>
        </w:tabs>
        <w:rPr>
          <w:color w:val="000000"/>
        </w:rPr>
      </w:pPr>
      <w:r>
        <w:rPr>
          <w:color w:val="000000"/>
        </w:rPr>
        <w:t>7. Применение правообладателями объектов капитального строительства указанных в градостроительном регламенте вспомогательных видов разрешенного использования объектов капитального строительства осуществляется:</w:t>
      </w:r>
    </w:p>
    <w:p w14:paraId="000000BB">
      <w:pPr>
        <w:shd w:val="clear" w:color="auto" w:fill="ffffff"/>
        <w:tabs>
          <w:tab w:val="left" w:pos="6847"/>
          <w:tab w:val="left" w:leader="dot" w:pos="8611"/>
        </w:tabs>
        <w:rPr>
          <w:color w:val="000000"/>
        </w:rPr>
      </w:pPr>
      <w:r>
        <w:rPr>
          <w:color w:val="000000"/>
        </w:rPr>
        <w:t>- если применение вспомогательного вида разрешенного использования объекта кап</w:t>
      </w:r>
      <w:r>
        <w:rPr>
          <w:color w:val="000000"/>
        </w:rPr>
        <w:t>и</w:t>
      </w:r>
      <w:r>
        <w:rPr>
          <w:color w:val="000000"/>
        </w:rPr>
        <w:t>тального строительства планируется исключительно в целях обеспечения функционирования, эксплуатации, инженерного обеспечения, обслуживания расположенных на этом земельном участке объектов капитального строительства, отнесенных настоящими Правилами к осно</w:t>
      </w:r>
      <w:r>
        <w:rPr>
          <w:color w:val="000000"/>
        </w:rPr>
        <w:t>в</w:t>
      </w:r>
      <w:r>
        <w:rPr>
          <w:color w:val="000000"/>
        </w:rPr>
        <w:t>ным и/или условно разрешенным видам использования земельных участков и объектов кап</w:t>
      </w:r>
      <w:r>
        <w:rPr>
          <w:color w:val="000000"/>
        </w:rPr>
        <w:t>и</w:t>
      </w:r>
      <w:r>
        <w:rPr>
          <w:color w:val="000000"/>
        </w:rPr>
        <w:t>тального строительства в соответствующей территориальной зоне.</w:t>
      </w:r>
    </w:p>
    <w:p w14:paraId="000000BC">
      <w:pPr>
        <w:pStyle w:val="Heading3"/>
        <w:rPr/>
      </w:pPr>
      <w:bookmarkStart w:id="64" w:name="_Toc200537080"/>
      <w:bookmarkStart w:id="65" w:name="_Toc208205268"/>
      <w:bookmarkStart w:id="66" w:name="_Toc427840778"/>
      <w:bookmarkStart w:id="67" w:name="_Toc427840960"/>
      <w:bookmarkStart w:id="68" w:name="_Toc465786389"/>
      <w:bookmarkStart w:id="69" w:name="_Toc89422064"/>
      <w:bookmarkStart w:id="70" w:name="_Toc159317548"/>
      <w:r>
        <w:t xml:space="preserve">Статья 12. </w:t>
      </w:r>
      <w:bookmarkEnd w:id="64"/>
      <w:bookmarkEnd w:id="65"/>
      <w:bookmarkEnd w:id="66"/>
      <w:bookmarkEnd w:id="67"/>
      <w:bookmarkEnd w:id="68"/>
      <w:r>
        <w:t>Предоставление разрешения на условно разрешённый вид использ</w:t>
      </w:r>
      <w:r>
        <w:t>о</w:t>
      </w:r>
      <w:r>
        <w:t>вания земельного участка и объекта капитального строительства.</w:t>
      </w:r>
      <w:bookmarkEnd w:id="69"/>
      <w:bookmarkEnd w:id="70"/>
    </w:p>
    <w:p w14:paraId="000000BD">
      <w:pPr>
        <w:widowControl w:val="off"/>
        <w:rPr>
          <w:color w:val="000000"/>
        </w:rPr>
      </w:pPr>
      <w:bookmarkStart w:id="71" w:name="sub_3901"/>
      <w:bookmarkStart w:id="72" w:name="_Toc200537081"/>
      <w:bookmarkStart w:id="73" w:name="_Toc208205269"/>
      <w:bookmarkStart w:id="74" w:name="_Toc130098619"/>
      <w:r>
        <w:t>1.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заявление о предоставлении разрешения на условно разрешенный вид использования в коми</w:t>
      </w:r>
      <w:r>
        <w:t>с</w:t>
      </w:r>
      <w:r>
        <w:t xml:space="preserve">сию. </w:t>
      </w:r>
      <w:r>
        <w:rPr>
          <w:bCs/>
          <w:color w:val="000000"/>
        </w:rPr>
        <w:t>Заявление     о     предоставлении разрешения на условно разрешенный вид   использов</w:t>
      </w:r>
      <w:r>
        <w:rPr>
          <w:bCs/>
          <w:color w:val="000000"/>
        </w:rPr>
        <w:t>а</w:t>
      </w:r>
      <w:r>
        <w:rPr>
          <w:bCs/>
          <w:color w:val="000000"/>
        </w:rPr>
        <w:t>ния   может   быть направлено в форме электронного документа, подписанного электронной       подписью       в соответствии     с    требованиями Федерального закона от 6 апреля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>2011 года N 63-ФЗ "Об электронной подписи" (далее   -  электронный документ, подписанный электро</w:t>
      </w:r>
      <w:r>
        <w:rPr>
          <w:bCs/>
          <w:color w:val="000000"/>
        </w:rPr>
        <w:t>н</w:t>
      </w:r>
      <w:r>
        <w:rPr>
          <w:bCs/>
          <w:color w:val="000000"/>
        </w:rPr>
        <w:t>ной подписью).</w:t>
      </w:r>
    </w:p>
    <w:p w14:paraId="000000BE">
      <w:pPr>
        <w:rPr>
          <w:rFonts w:ascii="Verdana" w:hAnsi="Verdana"/>
          <w:sz w:val="21"/>
          <w:szCs w:val="21"/>
        </w:rPr>
      </w:pPr>
      <w:bookmarkEnd w:id="71"/>
      <w:bookmarkStart w:id="75" w:name="sub_3902"/>
      <w:r>
        <w:t>2.</w:t>
      </w:r>
      <w:r>
        <w:t xml:space="preserve"> </w:t>
      </w:r>
      <w:r>
        <w:rPr>
          <w:color w:val="000000"/>
        </w:rPr>
        <w:t>Проект решения о предоставлении разрешения на условно разрешенный вид испол</w:t>
      </w:r>
      <w:r>
        <w:rPr>
          <w:color w:val="000000"/>
        </w:rPr>
        <w:t>ь</w:t>
      </w:r>
      <w:r>
        <w:rPr>
          <w:color w:val="000000"/>
        </w:rPr>
        <w:t>зования подлежит рассмотрению на общественных обсуждениях или публичных слушаниях, проводимых в порядке, установленном главой 5</w:t>
      </w:r>
      <w:r>
        <w:rPr>
          <w:color w:val="000000"/>
        </w:rPr>
        <w:t xml:space="preserve"> </w:t>
      </w:r>
      <w:r>
        <w:rPr>
          <w:color w:val="000000"/>
        </w:rPr>
        <w:t>настоящих</w:t>
      </w:r>
      <w:r>
        <w:rPr>
          <w:color w:val="000000"/>
        </w:rPr>
        <w:t xml:space="preserve"> </w:t>
      </w:r>
      <w:r>
        <w:rPr>
          <w:color w:val="000000"/>
        </w:rPr>
        <w:t>Правил, с учетом положений настоящей статьи.</w:t>
      </w:r>
    </w:p>
    <w:p w14:paraId="000000BF">
      <w:pPr>
        <w:widowControl w:val="off"/>
        <w:rPr/>
      </w:pPr>
      <w:bookmarkEnd w:id="75"/>
      <w:bookmarkStart w:id="76" w:name="sub_3903"/>
      <w:r>
        <w:t>3. В случае</w:t>
      </w:r>
      <w:r>
        <w:t>,</w:t>
      </w:r>
      <w:r>
        <w:t xml:space="preserve">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</w:p>
    <w:p w14:paraId="000000C0">
      <w:pPr>
        <w:rPr>
          <w:rFonts w:ascii="Verdana" w:hAnsi="Verdana"/>
          <w:sz w:val="21"/>
          <w:szCs w:val="21"/>
        </w:rPr>
      </w:pPr>
      <w:bookmarkEnd w:id="76"/>
      <w:bookmarkStart w:id="77" w:name="sub_3904"/>
      <w:r>
        <w:t>4.</w:t>
      </w:r>
      <w:r>
        <w:t xml:space="preserve"> </w:t>
      </w:r>
      <w:r>
        <w:rPr>
          <w:color w:val="000000"/>
        </w:rPr>
        <w:t>Организатор общественных обсуждений или публичных слушаний направляет соо</w:t>
      </w:r>
      <w:r>
        <w:rPr>
          <w:color w:val="000000"/>
        </w:rPr>
        <w:t>б</w:t>
      </w:r>
      <w:r>
        <w:rPr>
          <w:color w:val="000000"/>
        </w:rPr>
        <w:t>щения о проведении общественных обсуждений или публичных слушаний по проекту реш</w:t>
      </w:r>
      <w:r>
        <w:rPr>
          <w:color w:val="000000"/>
        </w:rPr>
        <w:t>е</w:t>
      </w:r>
      <w:r>
        <w:rPr>
          <w:color w:val="000000"/>
        </w:rPr>
        <w:t>ния о предоставлении разрешения на условно разрешенный вид использования правооблад</w:t>
      </w:r>
      <w:r>
        <w:rPr>
          <w:color w:val="000000"/>
        </w:rPr>
        <w:t>а</w:t>
      </w:r>
      <w:r>
        <w:rPr>
          <w:color w:val="000000"/>
        </w:rPr>
        <w:t>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</w:t>
      </w:r>
      <w:r>
        <w:rPr>
          <w:color w:val="000000"/>
        </w:rPr>
        <w:t>и</w:t>
      </w:r>
      <w:r>
        <w:rPr>
          <w:color w:val="000000"/>
        </w:rPr>
        <w:t>тельства, расположенных на земельных участках, имеющих общие границы с земельным участком, применительно к которому запрашивается данное</w:t>
      </w:r>
      <w:r>
        <w:rPr>
          <w:color w:val="000000"/>
        </w:rPr>
        <w:t xml:space="preserve"> разрешение, и правообладателям помещений, являющихся частью объекта капитального строительства, применительно к кот</w:t>
      </w:r>
      <w:r>
        <w:rPr>
          <w:color w:val="000000"/>
        </w:rPr>
        <w:t>о</w:t>
      </w:r>
      <w:r>
        <w:rPr>
          <w:color w:val="000000"/>
        </w:rPr>
        <w:t>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</w:t>
      </w:r>
      <w:r>
        <w:rPr>
          <w:color w:val="000000"/>
        </w:rPr>
        <w:t>в</w:t>
      </w:r>
      <w:r>
        <w:rPr>
          <w:color w:val="000000"/>
        </w:rPr>
        <w:t>лении разрешения на условно разрешенный вид использования.</w:t>
      </w:r>
    </w:p>
    <w:p w14:paraId="000000C1">
      <w:pPr>
        <w:widowControl w:val="off"/>
        <w:rPr/>
      </w:pPr>
      <w:bookmarkEnd w:id="77"/>
      <w:bookmarkStart w:id="78" w:name="sub_3907"/>
      <w:r>
        <w:rPr>
          <w:color w:val="000000"/>
        </w:rPr>
        <w:t>5.</w:t>
      </w:r>
      <w:r>
        <w:rPr>
          <w:color w:val="000000"/>
        </w:rPr>
        <w:t xml:space="preserve"> </w:t>
      </w:r>
      <w:r>
        <w:rPr>
          <w:color w:val="000000"/>
          <w:szCs w:val="28"/>
        </w:rPr>
        <w:t xml:space="preserve">Срок проведения публичных </w:t>
      </w:r>
      <w:r>
        <w:rPr>
          <w:color w:val="000000"/>
        </w:rPr>
        <w:t>слушаний или общественных обсуждений со дня оп</w:t>
      </w:r>
      <w:r>
        <w:rPr>
          <w:color w:val="000000"/>
        </w:rPr>
        <w:t>о</w:t>
      </w:r>
      <w:r>
        <w:rPr>
          <w:color w:val="000000"/>
        </w:rPr>
        <w:t>вещения жителей муниципального образования об их проведении до дня опубликования з</w:t>
      </w:r>
      <w:r>
        <w:rPr>
          <w:color w:val="000000"/>
        </w:rPr>
        <w:t>а</w:t>
      </w:r>
      <w:r>
        <w:rPr>
          <w:color w:val="000000"/>
        </w:rPr>
        <w:t>ключения о результатах общественных обсуждений или публичных слушаний определяется Уставом муниципального образования</w:t>
      </w:r>
      <w:r>
        <w:rPr>
          <w:color w:val="000000"/>
          <w:szCs w:val="28"/>
        </w:rPr>
        <w:t xml:space="preserve"> и нормативными правовыми актами представительного органа муниципального образования и не может быть более одного месяца.</w:t>
      </w:r>
    </w:p>
    <w:p w14:paraId="000000C2">
      <w:pPr>
        <w:widowControl w:val="off"/>
        <w:rPr/>
      </w:pPr>
      <w:bookmarkEnd w:id="78"/>
      <w:bookmarkStart w:id="79" w:name="sub_3908"/>
      <w:r>
        <w:rPr>
          <w:color w:val="000000"/>
        </w:rPr>
        <w:t>6</w:t>
      </w:r>
      <w:r>
        <w:t>.</w:t>
      </w:r>
      <w:r>
        <w:t xml:space="preserve"> </w:t>
      </w:r>
      <w:r>
        <w:t xml:space="preserve">На основании заключения о результатах публичных слушаний </w:t>
      </w:r>
      <w:r>
        <w:rPr>
          <w:color w:val="000000"/>
          <w:szCs w:val="28"/>
        </w:rPr>
        <w:t xml:space="preserve">или общественных обсуждений по </w:t>
      </w:r>
      <w:r>
        <w:rPr>
          <w:color w:val="000000"/>
        </w:rPr>
        <w:t>проекту решения</w:t>
      </w:r>
      <w:r>
        <w:t xml:space="preserve"> о предоставлении разрешения на условно разрешенный вид использования комиссия осуществляет подготовку рекомендаций о предоставлении разреш</w:t>
      </w:r>
      <w:r>
        <w:t>е</w:t>
      </w:r>
      <w:r>
        <w:t>ния на условно разрешенный вид использования или об отказе в предоставлении такого ра</w:t>
      </w:r>
      <w:r>
        <w:t>з</w:t>
      </w:r>
      <w:r>
        <w:t xml:space="preserve">решения с указанием причин принятого решения и направляет их главе </w:t>
      </w:r>
      <w:r>
        <w:t xml:space="preserve">администрации </w:t>
      </w:r>
      <w:r>
        <w:t>Берс</w:t>
      </w:r>
      <w:r>
        <w:t>е</w:t>
      </w:r>
      <w:r>
        <w:t>невского</w:t>
      </w:r>
      <w:r>
        <w:t xml:space="preserve"> сельского поселения</w:t>
      </w:r>
      <w:r>
        <w:t>.</w:t>
      </w:r>
    </w:p>
    <w:p w14:paraId="000000C3">
      <w:pPr>
        <w:widowControl w:val="off"/>
        <w:rPr/>
      </w:pPr>
      <w:bookmarkEnd w:id="79"/>
      <w:r>
        <w:rPr>
          <w:color w:val="000000"/>
        </w:rPr>
        <w:t>7.</w:t>
      </w:r>
      <w:r>
        <w:t xml:space="preserve"> На основании указанных в части </w:t>
      </w:r>
      <w:r>
        <w:rPr>
          <w:color w:val="000000"/>
        </w:rPr>
        <w:t>6</w:t>
      </w:r>
      <w:r>
        <w:rPr>
          <w:color w:val="00b050"/>
        </w:rPr>
        <w:t xml:space="preserve"> </w:t>
      </w:r>
      <w:r>
        <w:t xml:space="preserve">настоящей статьи рекомендаций глава </w:t>
      </w:r>
      <w:r>
        <w:t>админ</w:t>
      </w:r>
      <w:r>
        <w:t>и</w:t>
      </w:r>
      <w:r>
        <w:t>страции сельского поселения</w:t>
      </w:r>
      <w:r>
        <w:t xml:space="preserve"> в течение трех дней со дня поступления таких рекомендаций принимает решение о предоставлении разрешения на условно разрешенный вид использов</w:t>
      </w:r>
      <w:r>
        <w:t>а</w:t>
      </w:r>
      <w:r>
        <w:t>ния или об отказе в предоставлении такого разрешения. Указанное решение подлежит опу</w:t>
      </w:r>
      <w:r>
        <w:t>б</w:t>
      </w:r>
      <w:r>
        <w:t>ликованию в порядке, установленном для официального опубликования муниципальных пр</w:t>
      </w:r>
      <w:r>
        <w:t>а</w:t>
      </w:r>
      <w:r>
        <w:t>вовых актов, иной официальной информации, и размещается на официальном сайте муниц</w:t>
      </w:r>
      <w:r>
        <w:t>и</w:t>
      </w:r>
      <w:r>
        <w:t>пального образования (при наличии официального сайта муниципального образования) в сети "Интернет".</w:t>
      </w:r>
    </w:p>
    <w:p w14:paraId="000000C4">
      <w:pPr>
        <w:widowControl w:val="off"/>
        <w:rPr/>
      </w:pPr>
      <w:bookmarkStart w:id="80" w:name="sub_39010"/>
      <w:r>
        <w:rPr>
          <w:color w:val="000000"/>
        </w:rPr>
        <w:t xml:space="preserve">8. </w:t>
      </w:r>
      <w:r>
        <w:t>Расходы, связанные с организацией и проведением публичных слушаний по проекту решения о предоставлении разрешения на условно разрешенный вид использования, несет ф</w:t>
      </w:r>
      <w:r>
        <w:t>и</w:t>
      </w:r>
      <w:r>
        <w:t>зическое или юридическое лицо, заинтересованное в предоставлении такого разрешения.</w:t>
      </w:r>
    </w:p>
    <w:p w14:paraId="000000C5">
      <w:pPr>
        <w:widowControl w:val="off"/>
        <w:rPr/>
      </w:pPr>
      <w:bookmarkEnd w:id="80"/>
      <w:bookmarkStart w:id="81" w:name="sub_39011"/>
      <w:r>
        <w:rPr>
          <w:color w:val="000000"/>
        </w:rPr>
        <w:t>9.</w:t>
      </w:r>
      <w:r>
        <w:rPr>
          <w:color w:val="000000"/>
        </w:rPr>
        <w:t xml:space="preserve"> </w:t>
      </w:r>
      <w:r>
        <w:t>В случае</w:t>
      </w:r>
      <w:r>
        <w:t>,</w:t>
      </w:r>
      <w:r>
        <w:t xml:space="preserve">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</w:t>
      </w:r>
      <w:r>
        <w:t>н</w:t>
      </w:r>
      <w:r>
        <w:t>ном для внесения изменений в правила землепользования и застройки порядке после провед</w:t>
      </w:r>
      <w:r>
        <w:t>е</w:t>
      </w:r>
      <w:r>
        <w:t>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</w:t>
      </w:r>
      <w:r>
        <w:t>н</w:t>
      </w:r>
      <w:r>
        <w:t>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 или пу</w:t>
      </w:r>
      <w:r>
        <w:t>б</w:t>
      </w:r>
      <w:r>
        <w:t>личных слушаний.</w:t>
      </w:r>
    </w:p>
    <w:p w14:paraId="000000C6">
      <w:pPr>
        <w:widowControl w:val="off"/>
        <w:rPr/>
      </w:pPr>
      <w:bookmarkEnd w:id="81"/>
      <w:r>
        <w:t>1</w:t>
      </w:r>
      <w:r>
        <w:rPr>
          <w:color w:val="000000"/>
        </w:rPr>
        <w:t>0</w:t>
      </w:r>
      <w:r>
        <w:rPr>
          <w:color w:val="00b050"/>
        </w:rPr>
        <w:t>.</w:t>
      </w:r>
      <w:r>
        <w:rPr>
          <w:color w:val="00b050"/>
        </w:rPr>
        <w:t xml:space="preserve"> </w:t>
      </w:r>
      <w:r>
        <w:t>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разрешения.</w:t>
      </w:r>
    </w:p>
    <w:p w14:paraId="000000C7">
      <w:pPr>
        <w:pStyle w:val="Heading2"/>
        <w:spacing w:before="240"/>
        <w:rPr/>
      </w:pPr>
      <w:bookmarkStart w:id="82" w:name="_Toc427840779"/>
      <w:bookmarkStart w:id="83" w:name="_Toc427840961"/>
      <w:bookmarkStart w:id="84" w:name="_Toc89422065"/>
      <w:bookmarkStart w:id="85" w:name="_Toc159317549"/>
      <w:r>
        <w:rPr>
          <w:rFonts w:eastAsia="GOST Type AU"/>
          <w:lang w:eastAsia="ar-SA"/>
        </w:rPr>
        <w:t xml:space="preserve">Глава 4. </w:t>
      </w:r>
      <w:bookmarkEnd w:id="82"/>
      <w:bookmarkEnd w:id="83"/>
      <w:r>
        <w:rPr>
          <w:rFonts w:eastAsia="GOST Type AU"/>
          <w:lang w:eastAsia="ar-SA"/>
        </w:rPr>
        <w:t xml:space="preserve">Положения о проведении </w:t>
      </w:r>
      <w:r>
        <w:t>общественных обсуждений, публичных слушаний по вопросам землепользования и застройки.</w:t>
      </w:r>
      <w:bookmarkEnd w:id="84"/>
      <w:bookmarkEnd w:id="85"/>
      <w:r>
        <w:t xml:space="preserve"> </w:t>
      </w:r>
    </w:p>
    <w:p w14:paraId="000000C8">
      <w:pPr>
        <w:pStyle w:val="Heading3"/>
        <w:rPr>
          <w:rFonts w:eastAsia="Calibri"/>
          <w:lang w:eastAsia="ar-SA"/>
        </w:rPr>
      </w:pPr>
      <w:bookmarkStart w:id="86" w:name="_Toc89422066"/>
      <w:bookmarkStart w:id="87" w:name="_Toc159317550"/>
      <w:r>
        <w:rPr>
          <w:rFonts w:eastAsia="Calibri"/>
          <w:lang w:eastAsia="ar-SA"/>
        </w:rPr>
        <w:t>Статья 13. Подготовка документации по планировке территории.</w:t>
      </w:r>
      <w:bookmarkEnd w:id="86"/>
      <w:bookmarkEnd w:id="87"/>
    </w:p>
    <w:p w14:paraId="000000C9">
      <w:pPr>
        <w:widowControl w:val="off"/>
        <w:rPr>
          <w:rFonts w:ascii="Times New Roman CYR" w:cs="Times New Roman CYR" w:hAnsi="Times New Roman CYR"/>
          <w:szCs w:val="28"/>
        </w:rPr>
      </w:pPr>
      <w:bookmarkStart w:id="88" w:name="sub_4101"/>
      <w:bookmarkStart w:id="89" w:name="Par0"/>
      <w:bookmarkEnd w:id="89"/>
      <w:r>
        <w:rPr>
          <w:rFonts w:ascii="Times New Roman CYR" w:cs="Times New Roman CYR" w:hAnsi="Times New Roman CYR"/>
          <w:szCs w:val="28"/>
        </w:rPr>
        <w:t>1</w:t>
      </w:r>
      <w:r>
        <w:rPr>
          <w:rFonts w:ascii="Times New Roman CYR" w:cs="Times New Roman CYR" w:hAnsi="Times New Roman CYR"/>
          <w:szCs w:val="28"/>
        </w:rPr>
        <w:t>. Подготовка документации по планировке территории осуществляется в целях обе</w:t>
      </w:r>
      <w:r>
        <w:rPr>
          <w:rFonts w:ascii="Times New Roman CYR" w:cs="Times New Roman CYR" w:hAnsi="Times New Roman CYR"/>
          <w:szCs w:val="28"/>
        </w:rPr>
        <w:t>с</w:t>
      </w:r>
      <w:r>
        <w:rPr>
          <w:rFonts w:ascii="Times New Roman CYR" w:cs="Times New Roman CYR" w:hAnsi="Times New Roman CYR"/>
          <w:szCs w:val="28"/>
        </w:rPr>
        <w:t xml:space="preserve">печения </w:t>
      </w:r>
      <w:r>
        <w:rPr>
          <w:rFonts w:ascii="Times New Roman CYR" w:cs="Times New Roman CYR" w:hAnsi="Times New Roman CYR"/>
          <w:color w:val="000000"/>
          <w:szCs w:val="28"/>
        </w:rPr>
        <w:t>устойчивого развития территорий,</w:t>
      </w:r>
      <w:r>
        <w:rPr>
          <w:rFonts w:ascii="Times New Roman CYR" w:cs="Times New Roman CYR" w:hAnsi="Times New Roman CYR"/>
          <w:szCs w:val="28"/>
        </w:rPr>
        <w:t xml:space="preserve">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строительства.</w:t>
      </w:r>
    </w:p>
    <w:p w14:paraId="000000CA">
      <w:pPr>
        <w:widowControl w:val="off"/>
        <w:rPr>
          <w:rFonts w:ascii="Times New Roman CYR" w:cs="Times New Roman CYR" w:hAnsi="Times New Roman CYR"/>
          <w:szCs w:val="28"/>
        </w:rPr>
      </w:pPr>
      <w:bookmarkEnd w:id="88"/>
      <w:bookmarkStart w:id="90" w:name="sub_4103"/>
      <w:r>
        <w:rPr>
          <w:rFonts w:ascii="Times New Roman CYR" w:cs="Times New Roman CYR" w:hAnsi="Times New Roman CYR"/>
          <w:szCs w:val="28"/>
        </w:rPr>
        <w:t>2. Подготовка документации по планировке территории в целях размещения объекта капитального строительства является обязательной в следующих случаях:</w:t>
      </w:r>
    </w:p>
    <w:p w14:paraId="000000CB">
      <w:pPr>
        <w:widowControl w:val="off"/>
        <w:rPr>
          <w:rFonts w:ascii="Times New Roman CYR" w:cs="Times New Roman CYR" w:hAnsi="Times New Roman CYR"/>
          <w:szCs w:val="28"/>
        </w:rPr>
      </w:pPr>
      <w:bookmarkEnd w:id="90"/>
      <w:bookmarkStart w:id="91" w:name="sub_4131"/>
      <w:bookmarkStart w:id="92" w:name="sub_4135"/>
      <w:r>
        <w:rPr>
          <w:rFonts w:ascii="Times New Roman CYR" w:cs="Times New Roman CYR" w:hAnsi="Times New Roman CYR"/>
          <w:szCs w:val="28"/>
        </w:rPr>
        <w:t>1) необходимо изъятие земельных участков для государственных или муниципальных ну</w:t>
      </w:r>
      <w:r>
        <w:rPr>
          <w:rFonts w:ascii="Times New Roman CYR" w:cs="Times New Roman CYR" w:hAnsi="Times New Roman CYR"/>
          <w:szCs w:val="28"/>
        </w:rPr>
        <w:t>жд в св</w:t>
      </w:r>
      <w:r>
        <w:rPr>
          <w:rFonts w:ascii="Times New Roman CYR" w:cs="Times New Roman CYR" w:hAnsi="Times New Roman CYR"/>
          <w:szCs w:val="28"/>
        </w:rPr>
        <w:t>язи с размещением объекта капитального строительства федерального, региональн</w:t>
      </w:r>
      <w:r>
        <w:rPr>
          <w:rFonts w:ascii="Times New Roman CYR" w:cs="Times New Roman CYR" w:hAnsi="Times New Roman CYR"/>
          <w:szCs w:val="28"/>
        </w:rPr>
        <w:t>о</w:t>
      </w:r>
      <w:r>
        <w:rPr>
          <w:rFonts w:ascii="Times New Roman CYR" w:cs="Times New Roman CYR" w:hAnsi="Times New Roman CYR"/>
          <w:szCs w:val="28"/>
        </w:rPr>
        <w:t>го или местного значения;</w:t>
      </w:r>
    </w:p>
    <w:p w14:paraId="000000CC">
      <w:pPr>
        <w:widowControl w:val="off"/>
        <w:rPr>
          <w:rFonts w:ascii="Times New Roman CYR" w:cs="Times New Roman CYR" w:hAnsi="Times New Roman CYR"/>
          <w:szCs w:val="28"/>
        </w:rPr>
      </w:pPr>
      <w:bookmarkEnd w:id="91"/>
      <w:bookmarkStart w:id="93" w:name="sub_4132"/>
      <w:r>
        <w:rPr>
          <w:rFonts w:ascii="Times New Roman CYR" w:cs="Times New Roman CYR" w:hAnsi="Times New Roman CYR"/>
          <w:szCs w:val="28"/>
        </w:rPr>
        <w:t xml:space="preserve">2) </w:t>
      </w:r>
      <w:r>
        <w:rPr>
          <w:rFonts w:ascii="Times New Roman CYR" w:cs="Times New Roman CYR" w:hAnsi="Times New Roman CYR"/>
          <w:szCs w:val="28"/>
        </w:rPr>
        <w:t>необходимы</w:t>
      </w:r>
      <w:r>
        <w:rPr>
          <w:rFonts w:ascii="Times New Roman CYR" w:cs="Times New Roman CYR" w:hAnsi="Times New Roman CYR"/>
          <w:szCs w:val="28"/>
        </w:rPr>
        <w:t xml:space="preserve"> установление, изменение или отмена красных линий;</w:t>
      </w:r>
    </w:p>
    <w:p w14:paraId="000000CD">
      <w:pPr>
        <w:widowControl w:val="off"/>
        <w:rPr>
          <w:rFonts w:ascii="Times New Roman CYR" w:cs="Times New Roman CYR" w:hAnsi="Times New Roman CYR"/>
          <w:szCs w:val="28"/>
        </w:rPr>
      </w:pPr>
      <w:bookmarkEnd w:id="93"/>
      <w:bookmarkStart w:id="94" w:name="sub_4133"/>
      <w:r>
        <w:rPr>
          <w:rFonts w:ascii="Times New Roman CYR" w:cs="Times New Roman CYR" w:hAnsi="Times New Roman CYR"/>
          <w:szCs w:val="28"/>
        </w:rPr>
        <w:t xml:space="preserve">3) необходимо образование земельных участков в случае, если в соответствии с </w:t>
      </w:r>
      <w:r>
        <w:rPr>
          <w:rFonts w:ascii="Times New Roman CYR" w:cs="Times New Roman CYR" w:hAnsi="Times New Roman CYR"/>
          <w:color w:val="000000"/>
          <w:szCs w:val="28"/>
        </w:rPr>
        <w:t>з</w:t>
      </w:r>
      <w:r>
        <w:rPr>
          <w:rFonts w:ascii="Times New Roman CYR" w:cs="Times New Roman CYR" w:hAnsi="Times New Roman CYR"/>
          <w:color w:val="000000"/>
          <w:szCs w:val="28"/>
        </w:rPr>
        <w:t>е</w:t>
      </w:r>
      <w:r>
        <w:rPr>
          <w:rFonts w:ascii="Times New Roman CYR" w:cs="Times New Roman CYR" w:hAnsi="Times New Roman CYR"/>
          <w:color w:val="000000"/>
          <w:szCs w:val="28"/>
        </w:rPr>
        <w:t>мельным законодательством</w:t>
      </w:r>
      <w:r>
        <w:rPr>
          <w:rFonts w:ascii="Times New Roman CYR" w:cs="Times New Roman CYR" w:hAnsi="Times New Roman CYR"/>
          <w:szCs w:val="28"/>
        </w:rPr>
        <w:t xml:space="preserve"> образование земельных участков осуществляется только в соо</w:t>
      </w:r>
      <w:r>
        <w:rPr>
          <w:rFonts w:ascii="Times New Roman CYR" w:cs="Times New Roman CYR" w:hAnsi="Times New Roman CYR"/>
          <w:szCs w:val="28"/>
        </w:rPr>
        <w:t>т</w:t>
      </w:r>
      <w:r>
        <w:rPr>
          <w:rFonts w:ascii="Times New Roman CYR" w:cs="Times New Roman CYR" w:hAnsi="Times New Roman CYR"/>
          <w:szCs w:val="28"/>
        </w:rPr>
        <w:t>ветствии с проектом межевания территории;</w:t>
      </w:r>
    </w:p>
    <w:p w14:paraId="000000CE">
      <w:pPr>
        <w:widowControl w:val="off"/>
        <w:rPr>
          <w:rFonts w:ascii="Times New Roman CYR" w:cs="Times New Roman CYR" w:hAnsi="Times New Roman CYR"/>
          <w:szCs w:val="28"/>
        </w:rPr>
      </w:pPr>
      <w:bookmarkEnd w:id="94"/>
      <w:bookmarkStart w:id="95" w:name="sub_4134"/>
      <w:r>
        <w:rPr>
          <w:rFonts w:ascii="Times New Roman CYR" w:cs="Times New Roman CYR" w:hAnsi="Times New Roman CYR"/>
          <w:szCs w:val="28"/>
        </w:rPr>
        <w:t>4) размещение объекта капитального строительства планируется на территориях двух и более муниципальных образований, имеющих общую границу (за исключением случая, если размещение такого объекта капитального строительства планируется осуществлять на землях или земельных участках, находящихся в государственной или муниципальной собственности, и для размещения такого объекта капитального строительства не требуются предоставление земельных участков, находящихся в государственной или муниципальной собственности, и установление сервитутов);</w:t>
      </w:r>
    </w:p>
    <w:p w14:paraId="000000CF">
      <w:pPr>
        <w:widowControl w:val="off"/>
        <w:rPr>
          <w:rFonts w:ascii="Times New Roman CYR" w:cs="Times New Roman CYR" w:hAnsi="Times New Roman CYR"/>
          <w:szCs w:val="28"/>
        </w:rPr>
      </w:pPr>
      <w:bookmarkEnd w:id="95"/>
      <w:r>
        <w:rPr>
          <w:rFonts w:ascii="Times New Roman CYR" w:cs="Times New Roman CYR" w:hAnsi="Times New Roman CYR"/>
          <w:szCs w:val="28"/>
        </w:rPr>
        <w:t>5) планируются строительство, реконструкция линейного объекта (за исключением случая, если размещение линейного объекта планируется осуществлять на землях или земел</w:t>
      </w:r>
      <w:r>
        <w:rPr>
          <w:rFonts w:ascii="Times New Roman CYR" w:cs="Times New Roman CYR" w:hAnsi="Times New Roman CYR"/>
          <w:szCs w:val="28"/>
        </w:rPr>
        <w:t>ь</w:t>
      </w:r>
      <w:r>
        <w:rPr>
          <w:rFonts w:ascii="Times New Roman CYR" w:cs="Times New Roman CYR" w:hAnsi="Times New Roman CYR"/>
          <w:szCs w:val="28"/>
        </w:rPr>
        <w:t>ных участках, находящихся в государственной или муниципальной собственности, и для ра</w:t>
      </w:r>
      <w:r>
        <w:rPr>
          <w:rFonts w:ascii="Times New Roman CYR" w:cs="Times New Roman CYR" w:hAnsi="Times New Roman CYR"/>
          <w:szCs w:val="28"/>
        </w:rPr>
        <w:t>з</w:t>
      </w:r>
      <w:r>
        <w:rPr>
          <w:rFonts w:ascii="Times New Roman CYR" w:cs="Times New Roman CYR" w:hAnsi="Times New Roman CYR"/>
          <w:szCs w:val="28"/>
        </w:rPr>
        <w:t>мещения такого линейного объекта не требуются предоставление земельных участков, нах</w:t>
      </w:r>
      <w:r>
        <w:rPr>
          <w:rFonts w:ascii="Times New Roman CYR" w:cs="Times New Roman CYR" w:hAnsi="Times New Roman CYR"/>
          <w:szCs w:val="28"/>
        </w:rPr>
        <w:t>о</w:t>
      </w:r>
      <w:r>
        <w:rPr>
          <w:rFonts w:ascii="Times New Roman CYR" w:cs="Times New Roman CYR" w:hAnsi="Times New Roman CYR"/>
          <w:szCs w:val="28"/>
        </w:rPr>
        <w:t>дящихся в государственной или муниципальной собственности, и установление сервитутов). Правительством Российской Федерации могут быть установлены иные случаи, при которых для строительства, реконструкции линейного объекта не требуется подготовка документации по планировке территории.</w:t>
      </w:r>
    </w:p>
    <w:p w14:paraId="000000D0">
      <w:pPr>
        <w:widowControl w:val="off"/>
        <w:rPr/>
      </w:pPr>
      <w:r>
        <w:rPr>
          <w:szCs w:val="28"/>
        </w:rPr>
        <w:t xml:space="preserve">6) </w:t>
      </w:r>
      <w:bookmarkEnd w:id="92"/>
      <w:bookmarkStart w:id="96" w:name="sub_4104"/>
      <w:r>
        <w:t>планируется размещение объекта капитального строительства, не являющегося л</w:t>
      </w:r>
      <w:r>
        <w:t>и</w:t>
      </w:r>
      <w:r>
        <w:t>нейным объектом, и необходимых для обеспечения его функционирования объектов кап</w:t>
      </w:r>
      <w:r>
        <w:t>и</w:t>
      </w:r>
      <w:r>
        <w:t>тального строительства в границах особо охраняемой природной территории или в границах земель лесного фонда.</w:t>
      </w:r>
    </w:p>
    <w:p w14:paraId="000000D1">
      <w:pPr>
        <w:widowControl w:val="off"/>
        <w:rPr/>
      </w:pPr>
      <w:r>
        <w:t>7) планируется осуществление комплексного развития территории.</w:t>
      </w:r>
    </w:p>
    <w:p w14:paraId="000000D2">
      <w:pPr>
        <w:widowControl w:val="off"/>
        <w:rPr>
          <w:szCs w:val="28"/>
        </w:rPr>
      </w:pPr>
      <w:r>
        <w:rPr>
          <w:szCs w:val="28"/>
        </w:rPr>
        <w:t>8)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</w:t>
      </w:r>
      <w:r>
        <w:rPr>
          <w:szCs w:val="28"/>
        </w:rPr>
        <w:t>е</w:t>
      </w:r>
      <w:r>
        <w:rPr>
          <w:szCs w:val="28"/>
        </w:rPr>
        <w:t>ральным законом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14:paraId="000000D3">
      <w:pPr>
        <w:widowControl w:val="off"/>
        <w:rPr>
          <w:rFonts w:ascii="Times New Roman CYR" w:cs="Times New Roman CYR" w:hAnsi="Times New Roman CYR"/>
          <w:szCs w:val="28"/>
        </w:rPr>
      </w:pPr>
      <w:r>
        <w:rPr>
          <w:rFonts w:ascii="Times New Roman CYR" w:cs="Times New Roman CYR" w:hAnsi="Times New Roman CYR"/>
          <w:szCs w:val="28"/>
        </w:rPr>
        <w:t>3. Видами документации по планировке территории являются:</w:t>
      </w:r>
    </w:p>
    <w:p w14:paraId="000000D4">
      <w:pPr>
        <w:widowControl w:val="off"/>
        <w:rPr>
          <w:rFonts w:ascii="Times New Roman CYR" w:cs="Times New Roman CYR" w:hAnsi="Times New Roman CYR"/>
          <w:szCs w:val="28"/>
        </w:rPr>
      </w:pPr>
      <w:bookmarkEnd w:id="96"/>
      <w:bookmarkStart w:id="97" w:name="sub_4141"/>
      <w:r>
        <w:rPr>
          <w:rFonts w:ascii="Times New Roman CYR" w:cs="Times New Roman CYR" w:hAnsi="Times New Roman CYR"/>
          <w:szCs w:val="28"/>
        </w:rPr>
        <w:t>1) проект планировки территории;</w:t>
      </w:r>
    </w:p>
    <w:p w14:paraId="000000D5">
      <w:pPr>
        <w:widowControl w:val="off"/>
        <w:rPr>
          <w:rFonts w:ascii="Times New Roman CYR" w:cs="Times New Roman CYR" w:hAnsi="Times New Roman CYR"/>
          <w:szCs w:val="28"/>
        </w:rPr>
      </w:pPr>
      <w:bookmarkEnd w:id="97"/>
      <w:bookmarkStart w:id="98" w:name="sub_4142"/>
      <w:r>
        <w:rPr>
          <w:rFonts w:ascii="Times New Roman CYR" w:cs="Times New Roman CYR" w:hAnsi="Times New Roman CYR"/>
          <w:szCs w:val="28"/>
        </w:rPr>
        <w:t>2) проект межевания территории.</w:t>
      </w:r>
    </w:p>
    <w:p w14:paraId="000000D6">
      <w:pPr>
        <w:widowControl w:val="off"/>
        <w:rPr>
          <w:rFonts w:ascii="Times New Roman CYR" w:cs="Times New Roman CYR" w:hAnsi="Times New Roman CYR"/>
          <w:color w:val="ff0000"/>
          <w:szCs w:val="28"/>
        </w:rPr>
      </w:pPr>
      <w:r>
        <w:fldChar w:fldCharType="begin"/>
      </w:r>
      <w:r>
        <w:instrText xml:space="preserve">HYPERLINK "https://base.garant.ru/71913724/" </w:instrText>
      </w:r>
      <w:r>
        <w:fldChar w:fldCharType="separate"/>
      </w:r>
      <w:r>
        <w:rPr>
          <w:color w:val="000000"/>
        </w:rPr>
        <w:t>4.</w:t>
      </w:r>
      <w:r>
        <w:fldChar w:fldCharType="end"/>
      </w:r>
      <w:r>
        <w:rPr>
          <w:rFonts w:ascii="Times New Roman CYR" w:cs="Times New Roman CYR" w:hAnsi="Times New Roman CYR"/>
          <w:szCs w:val="28"/>
        </w:rPr>
        <w:t> </w:t>
      </w:r>
      <w:r>
        <w:rPr>
          <w:rFonts w:ascii="Times New Roman CYR" w:cs="Times New Roman CYR" w:hAnsi="Times New Roman CYR"/>
          <w:szCs w:val="28"/>
        </w:rPr>
        <w:t xml:space="preserve">Применительно к территории ведения гражданами садоводства или огородничества для собственных нужд, территории, в границах которой не предусматривается осуществление комплексного развития территории, а также не планируется размещение линейных объектов, допускается подготовка проекта межевания территории без подготовки проекта планировки территории в целях, предусмотренных частью 2 статьи 43 </w:t>
      </w:r>
      <w:r>
        <w:rPr>
          <w:rFonts w:ascii="Times New Roman CYR" w:cs="Times New Roman CYR" w:hAnsi="Times New Roman CYR"/>
          <w:szCs w:val="28"/>
        </w:rPr>
        <w:t xml:space="preserve">Градостроительного </w:t>
      </w:r>
      <w:r>
        <w:rPr>
          <w:rFonts w:ascii="Times New Roman CYR" w:cs="Times New Roman CYR" w:hAnsi="Times New Roman CYR"/>
          <w:szCs w:val="28"/>
        </w:rPr>
        <w:t>Кодекс</w:t>
      </w:r>
      <w:r>
        <w:rPr>
          <w:rFonts w:ascii="Times New Roman CYR" w:cs="Times New Roman CYR" w:hAnsi="Times New Roman CYR"/>
          <w:szCs w:val="28"/>
        </w:rPr>
        <w:t>а РФ</w:t>
      </w:r>
      <w:r>
        <w:rPr>
          <w:rFonts w:ascii="Times New Roman CYR" w:cs="Times New Roman CYR" w:hAnsi="Times New Roman CYR"/>
          <w:color w:val="000000"/>
          <w:szCs w:val="28"/>
        </w:rPr>
        <w:t>.</w:t>
      </w:r>
    </w:p>
    <w:p w14:paraId="000000D7">
      <w:pPr>
        <w:widowControl w:val="off"/>
        <w:rPr>
          <w:rFonts w:ascii="Times New Roman CYR" w:cs="Times New Roman CYR" w:hAnsi="Times New Roman CYR"/>
          <w:szCs w:val="28"/>
        </w:rPr>
      </w:pPr>
      <w:r>
        <w:rPr>
          <w:rFonts w:ascii="Times New Roman CYR" w:cs="Times New Roman CYR" w:hAnsi="Times New Roman CYR"/>
          <w:szCs w:val="28"/>
        </w:rPr>
        <w:t xml:space="preserve"> 5. Проект планировки территории является основой для подготовки проекта межев</w:t>
      </w:r>
      <w:r>
        <w:rPr>
          <w:rFonts w:ascii="Times New Roman CYR" w:cs="Times New Roman CYR" w:hAnsi="Times New Roman CYR"/>
          <w:szCs w:val="28"/>
        </w:rPr>
        <w:t>а</w:t>
      </w:r>
      <w:r>
        <w:rPr>
          <w:rFonts w:ascii="Times New Roman CYR" w:cs="Times New Roman CYR" w:hAnsi="Times New Roman CYR"/>
          <w:szCs w:val="28"/>
        </w:rPr>
        <w:t>ния территории, за исключением случаев, предусмотренных </w:t>
      </w:r>
      <w:r>
        <w:fldChar w:fldCharType="begin"/>
      </w:r>
      <w:r>
        <w:instrText xml:space="preserve">HYPERLINK "https://base.garant.ru/12138258/6f6a564ac5dc1fa713a326239c5c2f5d/" \l "block_4105" </w:instrText>
      </w:r>
      <w:r>
        <w:fldChar w:fldCharType="separate"/>
      </w:r>
      <w:r>
        <w:rPr>
          <w:color w:val="000000"/>
        </w:rPr>
        <w:t>частью 4</w:t>
      </w:r>
      <w:r>
        <w:fldChar w:fldCharType="end"/>
      </w:r>
      <w:r>
        <w:rPr>
          <w:rFonts w:ascii="Times New Roman CYR" w:cs="Times New Roman CYR" w:hAnsi="Times New Roman CYR"/>
          <w:szCs w:val="28"/>
        </w:rPr>
        <w:t> настоящей статьи. По</w:t>
      </w:r>
      <w:r>
        <w:rPr>
          <w:rFonts w:ascii="Times New Roman CYR" w:cs="Times New Roman CYR" w:hAnsi="Times New Roman CYR"/>
          <w:szCs w:val="28"/>
        </w:rPr>
        <w:t>д</w:t>
      </w:r>
      <w:r>
        <w:rPr>
          <w:rFonts w:ascii="Times New Roman CYR" w:cs="Times New Roman CYR" w:hAnsi="Times New Roman CYR"/>
          <w:szCs w:val="28"/>
        </w:rPr>
        <w:t>готовка проекта межевания территории осуществляется в составе проекта планировки терр</w:t>
      </w:r>
      <w:r>
        <w:rPr>
          <w:rFonts w:ascii="Times New Roman CYR" w:cs="Times New Roman CYR" w:hAnsi="Times New Roman CYR"/>
          <w:szCs w:val="28"/>
        </w:rPr>
        <w:t>и</w:t>
      </w:r>
      <w:r>
        <w:rPr>
          <w:rFonts w:ascii="Times New Roman CYR" w:cs="Times New Roman CYR" w:hAnsi="Times New Roman CYR"/>
          <w:szCs w:val="28"/>
        </w:rPr>
        <w:t>тории или в виде отдельного документа.</w:t>
      </w:r>
    </w:p>
    <w:p w14:paraId="000000D8">
      <w:pPr>
        <w:widowControl w:val="off"/>
        <w:rPr>
          <w:rFonts w:ascii="Times New Roman CYR" w:cs="Times New Roman CYR" w:hAnsi="Times New Roman CYR"/>
          <w:szCs w:val="28"/>
        </w:rPr>
      </w:pPr>
      <w:r>
        <w:rPr>
          <w:rFonts w:ascii="Times New Roman CYR" w:cs="Times New Roman CYR" w:hAnsi="Times New Roman CYR"/>
          <w:bCs/>
          <w:szCs w:val="28"/>
        </w:rPr>
        <w:t>6.</w:t>
      </w:r>
      <w:r>
        <w:rPr>
          <w:rFonts w:ascii="Times New Roman CYR" w:cs="Times New Roman CYR" w:hAnsi="Times New Roman CYR"/>
          <w:szCs w:val="28"/>
        </w:rPr>
        <w:t xml:space="preserve"> Проект планировки территории</w:t>
      </w:r>
    </w:p>
    <w:p w14:paraId="000000D9">
      <w:pPr>
        <w:widowControl w:val="off"/>
        <w:rPr>
          <w:rFonts w:ascii="Times New Roman CYR" w:cs="Times New Roman CYR" w:hAnsi="Times New Roman CYR"/>
          <w:szCs w:val="28"/>
        </w:rPr>
      </w:pPr>
      <w:bookmarkStart w:id="99" w:name="sub_4201"/>
      <w:r>
        <w:rPr>
          <w:rFonts w:ascii="Times New Roman CYR" w:cs="Times New Roman CYR" w:hAnsi="Times New Roman CYR"/>
          <w:szCs w:val="28"/>
        </w:rPr>
        <w:t>Подготовка проектов планировки территории осуществляется для выделения элементов планировочной структуры, установления границ территорий общего пользования, границ зон планируемого размещения объектов капитального строительства, определения характеристик и очередности планируемого развития территории.</w:t>
      </w:r>
    </w:p>
    <w:p w14:paraId="000000DA">
      <w:pPr>
        <w:widowControl w:val="off"/>
        <w:rPr>
          <w:rFonts w:ascii="Times New Roman CYR" w:cs="Times New Roman CYR" w:hAnsi="Times New Roman CYR"/>
          <w:szCs w:val="28"/>
        </w:rPr>
      </w:pPr>
      <w:bookmarkEnd w:id="99"/>
      <w:bookmarkStart w:id="100" w:name="sub_4202"/>
      <w:r>
        <w:rPr>
          <w:rFonts w:ascii="Times New Roman CYR" w:cs="Times New Roman CYR" w:hAnsi="Times New Roman CYR"/>
          <w:szCs w:val="28"/>
        </w:rPr>
        <w:t>Проект планировки территории состоит из основной части, которая подлежит утве</w:t>
      </w:r>
      <w:r>
        <w:rPr>
          <w:rFonts w:ascii="Times New Roman CYR" w:cs="Times New Roman CYR" w:hAnsi="Times New Roman CYR"/>
          <w:szCs w:val="28"/>
        </w:rPr>
        <w:t>р</w:t>
      </w:r>
      <w:r>
        <w:rPr>
          <w:rFonts w:ascii="Times New Roman CYR" w:cs="Times New Roman CYR" w:hAnsi="Times New Roman CYR"/>
          <w:szCs w:val="28"/>
        </w:rPr>
        <w:t>ждению, и материалов по ее обоснованию.</w:t>
      </w:r>
    </w:p>
    <w:p w14:paraId="000000DB">
      <w:pPr>
        <w:widowControl w:val="off"/>
        <w:rPr>
          <w:rFonts w:ascii="Times New Roman CYR" w:cs="Times New Roman CYR" w:hAnsi="Times New Roman CYR"/>
          <w:szCs w:val="28"/>
        </w:rPr>
      </w:pPr>
      <w:bookmarkEnd w:id="100"/>
      <w:r>
        <w:rPr>
          <w:rFonts w:ascii="Times New Roman CYR" w:cs="Times New Roman CYR" w:hAnsi="Times New Roman CYR"/>
          <w:bCs/>
          <w:szCs w:val="28"/>
        </w:rPr>
        <w:t xml:space="preserve">7. </w:t>
      </w:r>
      <w:r>
        <w:rPr>
          <w:rFonts w:ascii="Times New Roman CYR" w:cs="Times New Roman CYR" w:hAnsi="Times New Roman CYR"/>
          <w:szCs w:val="28"/>
        </w:rPr>
        <w:t xml:space="preserve"> Проект межевания территории</w:t>
      </w:r>
    </w:p>
    <w:p w14:paraId="000000DC">
      <w:pPr>
        <w:widowControl w:val="off"/>
        <w:rPr>
          <w:rFonts w:ascii="Times New Roman CYR" w:cs="Times New Roman CYR" w:hAnsi="Times New Roman CYR"/>
          <w:color w:val="ff0000"/>
          <w:szCs w:val="28"/>
        </w:rPr>
      </w:pPr>
      <w:bookmarkStart w:id="101" w:name="sub_4301"/>
      <w:r>
        <w:rPr>
          <w:rFonts w:ascii="Times New Roman CYR" w:cs="Times New Roman CYR" w:hAnsi="Times New Roman CYR"/>
          <w:szCs w:val="28"/>
        </w:rPr>
        <w:t xml:space="preserve">  </w:t>
      </w:r>
      <w:r>
        <w:rPr>
          <w:rFonts w:ascii="Times New Roman CYR" w:cs="Times New Roman CYR" w:hAnsi="Times New Roman CYR"/>
          <w:color w:val="000000"/>
          <w:szCs w:val="28"/>
        </w:rPr>
        <w:t>Подготовка проекта межевания территории осуществляется применительно к терр</w:t>
      </w:r>
      <w:r>
        <w:rPr>
          <w:rFonts w:ascii="Times New Roman CYR" w:cs="Times New Roman CYR" w:hAnsi="Times New Roman CYR"/>
          <w:color w:val="000000"/>
          <w:szCs w:val="28"/>
        </w:rPr>
        <w:t>и</w:t>
      </w:r>
      <w:r>
        <w:rPr>
          <w:rFonts w:ascii="Times New Roman CYR" w:cs="Times New Roman CYR" w:hAnsi="Times New Roman CYR"/>
          <w:color w:val="000000"/>
          <w:szCs w:val="28"/>
        </w:rPr>
        <w:t>тории, расположенной в границах одного или нескольких смежных элементов планировочной структуры, границах определенной правилами землепользования и застройки территориал</w:t>
      </w:r>
      <w:r>
        <w:rPr>
          <w:rFonts w:ascii="Times New Roman CYR" w:cs="Times New Roman CYR" w:hAnsi="Times New Roman CYR"/>
          <w:color w:val="000000"/>
          <w:szCs w:val="28"/>
        </w:rPr>
        <w:t>ь</w:t>
      </w:r>
      <w:r>
        <w:rPr>
          <w:rFonts w:ascii="Times New Roman CYR" w:cs="Times New Roman CYR" w:hAnsi="Times New Roman CYR"/>
          <w:color w:val="000000"/>
          <w:szCs w:val="28"/>
        </w:rPr>
        <w:t>ной зоны и (или) границах установленной схемой территориального планирования муниц</w:t>
      </w:r>
      <w:r>
        <w:rPr>
          <w:rFonts w:ascii="Times New Roman CYR" w:cs="Times New Roman CYR" w:hAnsi="Times New Roman CYR"/>
          <w:color w:val="000000"/>
          <w:szCs w:val="28"/>
        </w:rPr>
        <w:t>и</w:t>
      </w:r>
      <w:r>
        <w:rPr>
          <w:rFonts w:ascii="Times New Roman CYR" w:cs="Times New Roman CYR" w:hAnsi="Times New Roman CYR"/>
          <w:color w:val="000000"/>
          <w:szCs w:val="28"/>
        </w:rPr>
        <w:t>пального района, генеральным планом поселения, городского округа функциональной зоны, территории, в отношении которой предусматривается осуществление комплексного развития территории.</w:t>
      </w:r>
    </w:p>
    <w:p w14:paraId="000000DD">
      <w:pPr>
        <w:widowControl w:val="off"/>
        <w:rPr>
          <w:rFonts w:ascii="Times New Roman CYR" w:cs="Times New Roman CYR" w:hAnsi="Times New Roman CYR"/>
          <w:szCs w:val="28"/>
        </w:rPr>
      </w:pPr>
      <w:bookmarkEnd w:id="101"/>
      <w:bookmarkStart w:id="102" w:name="sub_4302"/>
      <w:r>
        <w:rPr>
          <w:rFonts w:ascii="Times New Roman CYR" w:cs="Times New Roman CYR" w:hAnsi="Times New Roman CYR"/>
          <w:szCs w:val="28"/>
        </w:rPr>
        <w:t xml:space="preserve">7.1 Подготовка проекта межевания территории осуществляется, </w:t>
      </w:r>
      <w:r>
        <w:rPr>
          <w:rFonts w:ascii="Times New Roman CYR" w:cs="Times New Roman CYR" w:hAnsi="Times New Roman CYR"/>
          <w:szCs w:val="28"/>
        </w:rPr>
        <w:t>для</w:t>
      </w:r>
      <w:r>
        <w:rPr>
          <w:rFonts w:ascii="Times New Roman CYR" w:cs="Times New Roman CYR" w:hAnsi="Times New Roman CYR"/>
          <w:szCs w:val="28"/>
        </w:rPr>
        <w:t>:</w:t>
      </w:r>
    </w:p>
    <w:p w14:paraId="000000DE">
      <w:pPr>
        <w:widowControl w:val="off"/>
        <w:rPr>
          <w:rFonts w:ascii="Times New Roman CYR" w:cs="Times New Roman CYR" w:hAnsi="Times New Roman CYR"/>
          <w:szCs w:val="28"/>
        </w:rPr>
      </w:pPr>
      <w:bookmarkEnd w:id="102"/>
      <w:bookmarkStart w:id="103" w:name="sub_4321"/>
      <w:r>
        <w:rPr>
          <w:rFonts w:ascii="Times New Roman CYR" w:cs="Times New Roman CYR" w:hAnsi="Times New Roman CYR"/>
          <w:szCs w:val="28"/>
        </w:rPr>
        <w:t>1) определения местоположения границ, образуемых и изменяемых земельных учас</w:t>
      </w:r>
      <w:r>
        <w:rPr>
          <w:rFonts w:ascii="Times New Roman CYR" w:cs="Times New Roman CYR" w:hAnsi="Times New Roman CYR"/>
          <w:szCs w:val="28"/>
        </w:rPr>
        <w:t>т</w:t>
      </w:r>
      <w:r>
        <w:rPr>
          <w:rFonts w:ascii="Times New Roman CYR" w:cs="Times New Roman CYR" w:hAnsi="Times New Roman CYR"/>
          <w:szCs w:val="28"/>
        </w:rPr>
        <w:t>ков;</w:t>
      </w:r>
    </w:p>
    <w:p w14:paraId="000000DF">
      <w:pPr>
        <w:widowControl w:val="off"/>
        <w:rPr>
          <w:rFonts w:ascii="Times New Roman CYR" w:cs="Times New Roman CYR" w:hAnsi="Times New Roman CYR"/>
          <w:color w:val="000000"/>
          <w:szCs w:val="28"/>
        </w:rPr>
      </w:pPr>
      <w:bookmarkEnd w:id="103"/>
      <w:bookmarkStart w:id="104" w:name="sub_4322"/>
      <w:r>
        <w:rPr>
          <w:rFonts w:ascii="Times New Roman CYR" w:cs="Times New Roman CYR" w:hAnsi="Times New Roman CYR"/>
          <w:szCs w:val="28"/>
        </w:rPr>
        <w:t xml:space="preserve">2) </w:t>
      </w:r>
      <w:r>
        <w:rPr>
          <w:rFonts w:ascii="Times New Roman CYR" w:cs="Times New Roman CYR" w:hAnsi="Times New Roman CYR"/>
          <w:color w:val="000000"/>
          <w:szCs w:val="28"/>
        </w:rPr>
        <w:t>установления, изменения, отмены красных линий для застроенных территорий, в границах которых не планируется размещение новых объектов капитального строительства, а также для установления, изменения, отмены красных линий в связи с образованием и (или) изменением земельного участка, расположенного в границах территории, применительно к которой не предусматривается осуществление комплексного развития территории, при усл</w:t>
      </w:r>
      <w:r>
        <w:rPr>
          <w:rFonts w:ascii="Times New Roman CYR" w:cs="Times New Roman CYR" w:hAnsi="Times New Roman CYR"/>
          <w:color w:val="000000"/>
          <w:szCs w:val="28"/>
        </w:rPr>
        <w:t>о</w:t>
      </w:r>
      <w:r>
        <w:rPr>
          <w:rFonts w:ascii="Times New Roman CYR" w:cs="Times New Roman CYR" w:hAnsi="Times New Roman CYR"/>
          <w:color w:val="000000"/>
          <w:szCs w:val="28"/>
        </w:rPr>
        <w:t>вии, что такие установление, изменение, отмена влекут за собой исключительно</w:t>
      </w:r>
      <w:r>
        <w:rPr>
          <w:rFonts w:ascii="Times New Roman CYR" w:cs="Times New Roman CYR" w:hAnsi="Times New Roman CYR"/>
          <w:color w:val="000000"/>
          <w:szCs w:val="28"/>
        </w:rPr>
        <w:t xml:space="preserve"> изменение границ территории общего пользования.</w:t>
      </w:r>
    </w:p>
    <w:p w14:paraId="000000E0">
      <w:pPr>
        <w:widowControl w:val="off"/>
        <w:rPr>
          <w:rFonts w:ascii="Times New Roman CYR" w:cs="Times New Roman CYR" w:hAnsi="Times New Roman CYR"/>
          <w:color w:val="000000"/>
          <w:szCs w:val="28"/>
        </w:rPr>
      </w:pPr>
      <w:r>
        <w:rPr>
          <w:rFonts w:ascii="Times New Roman CYR" w:cs="Times New Roman CYR" w:hAnsi="Times New Roman CYR"/>
          <w:color w:val="000000"/>
          <w:szCs w:val="28"/>
        </w:rPr>
        <w:t>7.2 Проект межевания территории состоит из основной части, которая подлежит утверждению, и материалов по обоснованию этого проекта.</w:t>
      </w:r>
    </w:p>
    <w:p w14:paraId="000000E1">
      <w:pPr>
        <w:widowControl w:val="off"/>
        <w:rPr>
          <w:rFonts w:ascii="Times New Roman CYR" w:cs="Times New Roman CYR" w:hAnsi="Times New Roman CYR"/>
          <w:szCs w:val="28"/>
        </w:rPr>
      </w:pPr>
      <w:bookmarkEnd w:id="104"/>
      <w:bookmarkStart w:id="105" w:name="sub_4308"/>
      <w:r>
        <w:rPr>
          <w:rFonts w:ascii="Times New Roman CYR" w:cs="Times New Roman CYR" w:hAnsi="Times New Roman CYR"/>
          <w:color w:val="000000"/>
          <w:szCs w:val="28"/>
        </w:rPr>
        <w:t xml:space="preserve">7.3 </w:t>
      </w:r>
      <w:r>
        <w:rPr>
          <w:rFonts w:ascii="Times New Roman CYR" w:cs="Times New Roman CYR" w:hAnsi="Times New Roman CYR"/>
          <w:szCs w:val="28"/>
        </w:rPr>
        <w:t>Подготовка проектов межевания территории осуществляется с учетом материалов и результатов инженерных изысканий в случаях, если выполнение таких инженерных изыск</w:t>
      </w:r>
      <w:r>
        <w:rPr>
          <w:rFonts w:ascii="Times New Roman CYR" w:cs="Times New Roman CYR" w:hAnsi="Times New Roman CYR"/>
          <w:szCs w:val="28"/>
        </w:rPr>
        <w:t>а</w:t>
      </w:r>
      <w:r>
        <w:rPr>
          <w:rFonts w:ascii="Times New Roman CYR" w:cs="Times New Roman CYR" w:hAnsi="Times New Roman CYR"/>
          <w:szCs w:val="28"/>
        </w:rPr>
        <w:t>ний для подготовки документации по планировке территории требуется в соответствии с настоящим Кодексом. В целях подготовки проекта межевания территории допускается и</w:t>
      </w:r>
      <w:r>
        <w:rPr>
          <w:rFonts w:ascii="Times New Roman CYR" w:cs="Times New Roman CYR" w:hAnsi="Times New Roman CYR"/>
          <w:szCs w:val="28"/>
        </w:rPr>
        <w:t>с</w:t>
      </w:r>
      <w:r>
        <w:rPr>
          <w:rFonts w:ascii="Times New Roman CYR" w:cs="Times New Roman CYR" w:hAnsi="Times New Roman CYR"/>
          <w:szCs w:val="28"/>
        </w:rPr>
        <w:t>пользование материалов и результатов инженерных изысканий, полученных для подготовки проекта планировки данной территории, в течение не более чем пяти лет со дня их выполн</w:t>
      </w:r>
      <w:r>
        <w:rPr>
          <w:rFonts w:ascii="Times New Roman CYR" w:cs="Times New Roman CYR" w:hAnsi="Times New Roman CYR"/>
          <w:szCs w:val="28"/>
        </w:rPr>
        <w:t>е</w:t>
      </w:r>
      <w:r>
        <w:rPr>
          <w:rFonts w:ascii="Times New Roman CYR" w:cs="Times New Roman CYR" w:hAnsi="Times New Roman CYR"/>
          <w:szCs w:val="28"/>
        </w:rPr>
        <w:t>ния.</w:t>
      </w:r>
    </w:p>
    <w:p w14:paraId="000000E2">
      <w:pPr>
        <w:widowControl w:val="off"/>
        <w:rPr>
          <w:rFonts w:ascii="Times New Roman CYR" w:cs="Times New Roman CYR" w:hAnsi="Times New Roman CYR"/>
          <w:szCs w:val="28"/>
        </w:rPr>
      </w:pPr>
      <w:bookmarkEnd w:id="105"/>
      <w:bookmarkStart w:id="106" w:name="sub_4309"/>
      <w:r>
        <w:rPr>
          <w:rFonts w:ascii="Times New Roman CYR" w:cs="Times New Roman CYR" w:hAnsi="Times New Roman CYR"/>
          <w:szCs w:val="28"/>
        </w:rPr>
        <w:t>7.4</w:t>
      </w:r>
      <w:r>
        <w:rPr>
          <w:rFonts w:ascii="Times New Roman CYR" w:cs="Times New Roman CYR" w:hAnsi="Times New Roman CYR"/>
          <w:szCs w:val="28"/>
        </w:rPr>
        <w:t xml:space="preserve"> П</w:t>
      </w:r>
      <w:r>
        <w:rPr>
          <w:rFonts w:ascii="Times New Roman CYR" w:cs="Times New Roman CYR" w:hAnsi="Times New Roman CYR"/>
          <w:szCs w:val="28"/>
        </w:rPr>
        <w:t>ри подготовке проекта межевания территории определение местоположения гр</w:t>
      </w:r>
      <w:r>
        <w:rPr>
          <w:rFonts w:ascii="Times New Roman CYR" w:cs="Times New Roman CYR" w:hAnsi="Times New Roman CYR"/>
          <w:szCs w:val="28"/>
        </w:rPr>
        <w:t>а</w:t>
      </w:r>
      <w:r>
        <w:rPr>
          <w:rFonts w:ascii="Times New Roman CYR" w:cs="Times New Roman CYR" w:hAnsi="Times New Roman CYR"/>
          <w:szCs w:val="28"/>
        </w:rPr>
        <w:t>ниц, образуемых и (или)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деятельности, иными требованиями к образуемым и (или) изменяемым земельным участкам, установленными федеральными законами и законами субъектов Российской Фед</w:t>
      </w:r>
      <w:r>
        <w:rPr>
          <w:rFonts w:ascii="Times New Roman CYR" w:cs="Times New Roman CYR" w:hAnsi="Times New Roman CYR"/>
          <w:szCs w:val="28"/>
        </w:rPr>
        <w:t>е</w:t>
      </w:r>
      <w:r>
        <w:rPr>
          <w:rFonts w:ascii="Times New Roman CYR" w:cs="Times New Roman CYR" w:hAnsi="Times New Roman CYR"/>
          <w:szCs w:val="28"/>
        </w:rPr>
        <w:t>рации, техническими регламентами, сводами правил.</w:t>
      </w:r>
    </w:p>
    <w:p w14:paraId="000000E3">
      <w:pPr>
        <w:widowControl w:val="off"/>
        <w:rPr>
          <w:rFonts w:ascii="Times New Roman CYR" w:cs="Times New Roman CYR" w:hAnsi="Times New Roman CYR"/>
          <w:szCs w:val="28"/>
        </w:rPr>
      </w:pPr>
      <w:bookmarkEnd w:id="106"/>
      <w:bookmarkStart w:id="107" w:name="sub_43010"/>
      <w:r>
        <w:rPr>
          <w:rFonts w:ascii="Times New Roman CYR" w:cs="Times New Roman CYR" w:hAnsi="Times New Roman CYR"/>
          <w:szCs w:val="28"/>
        </w:rPr>
        <w:t>7.5</w:t>
      </w:r>
      <w:r>
        <w:rPr>
          <w:rFonts w:ascii="Times New Roman CYR" w:cs="Times New Roman CYR" w:hAnsi="Times New Roman CYR"/>
          <w:szCs w:val="28"/>
        </w:rPr>
        <w:t xml:space="preserve"> В</w:t>
      </w:r>
      <w:r>
        <w:rPr>
          <w:rFonts w:ascii="Times New Roman CYR" w:cs="Times New Roman CYR" w:hAnsi="Times New Roman CYR"/>
          <w:szCs w:val="28"/>
        </w:rPr>
        <w:t xml:space="preserve"> случае, если разработка проекта межевания территории осуществляется примен</w:t>
      </w:r>
      <w:r>
        <w:rPr>
          <w:rFonts w:ascii="Times New Roman CYR" w:cs="Times New Roman CYR" w:hAnsi="Times New Roman CYR"/>
          <w:szCs w:val="28"/>
        </w:rPr>
        <w:t>и</w:t>
      </w:r>
      <w:r>
        <w:rPr>
          <w:rFonts w:ascii="Times New Roman CYR" w:cs="Times New Roman CYR" w:hAnsi="Times New Roman CYR"/>
          <w:szCs w:val="28"/>
        </w:rPr>
        <w:t>тельно к территории,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территории, срок действия которой не истек, местоположение границ земельных участков в таком проекте межевания территории должно соответствовать местоп</w:t>
      </w:r>
      <w:r>
        <w:rPr>
          <w:rFonts w:ascii="Times New Roman CYR" w:cs="Times New Roman CYR" w:hAnsi="Times New Roman CYR"/>
          <w:szCs w:val="28"/>
        </w:rPr>
        <w:t>о</w:t>
      </w:r>
      <w:r>
        <w:rPr>
          <w:rFonts w:ascii="Times New Roman CYR" w:cs="Times New Roman CYR" w:hAnsi="Times New Roman CYR"/>
          <w:szCs w:val="28"/>
        </w:rPr>
        <w:t>ложению границ земельных участков, образование которых предусмотрено данной схемой.</w:t>
      </w:r>
    </w:p>
    <w:p w14:paraId="000000E4">
      <w:pPr>
        <w:widowControl w:val="off"/>
        <w:rPr>
          <w:rFonts w:ascii="Times New Roman CYR" w:cs="Times New Roman CYR" w:hAnsi="Times New Roman CYR"/>
          <w:szCs w:val="28"/>
        </w:rPr>
      </w:pPr>
      <w:bookmarkEnd w:id="107"/>
      <w:bookmarkStart w:id="108" w:name="sub_43011"/>
      <w:r>
        <w:rPr>
          <w:rFonts w:ascii="Times New Roman CYR" w:cs="Times New Roman CYR" w:hAnsi="Times New Roman CYR"/>
          <w:szCs w:val="28"/>
        </w:rPr>
        <w:t>7.6</w:t>
      </w:r>
      <w:r>
        <w:rPr>
          <w:rFonts w:ascii="Times New Roman CYR" w:cs="Times New Roman CYR" w:hAnsi="Times New Roman CYR"/>
          <w:szCs w:val="28"/>
        </w:rPr>
        <w:t xml:space="preserve"> В</w:t>
      </w:r>
      <w:r>
        <w:rPr>
          <w:rFonts w:ascii="Times New Roman CYR" w:cs="Times New Roman CYR" w:hAnsi="Times New Roman CYR"/>
          <w:szCs w:val="28"/>
        </w:rPr>
        <w:t xml:space="preserve"> проекте межевания территории, подготовленном применительно к территории и</w:t>
      </w:r>
      <w:r>
        <w:rPr>
          <w:rFonts w:ascii="Times New Roman CYR" w:cs="Times New Roman CYR" w:hAnsi="Times New Roman CYR"/>
          <w:szCs w:val="28"/>
        </w:rPr>
        <w:t>с</w:t>
      </w:r>
      <w:r>
        <w:rPr>
          <w:rFonts w:ascii="Times New Roman CYR" w:cs="Times New Roman CYR" w:hAnsi="Times New Roman CYR"/>
          <w:szCs w:val="28"/>
        </w:rPr>
        <w:t>торического поселения, учитываются элементы планировочной структуры, обеспечение с</w:t>
      </w:r>
      <w:r>
        <w:rPr>
          <w:rFonts w:ascii="Times New Roman CYR" w:cs="Times New Roman CYR" w:hAnsi="Times New Roman CYR"/>
          <w:szCs w:val="28"/>
        </w:rPr>
        <w:t>о</w:t>
      </w:r>
      <w:r>
        <w:rPr>
          <w:rFonts w:ascii="Times New Roman CYR" w:cs="Times New Roman CYR" w:hAnsi="Times New Roman CYR"/>
          <w:szCs w:val="28"/>
        </w:rPr>
        <w:t xml:space="preserve">хранности которых предусмотрено </w:t>
      </w:r>
      <w:r>
        <w:rPr>
          <w:rFonts w:ascii="Times New Roman CYR" w:cs="Times New Roman CYR" w:hAnsi="Times New Roman CYR"/>
          <w:color w:val="000000"/>
          <w:szCs w:val="28"/>
        </w:rPr>
        <w:t>законодательством</w:t>
      </w:r>
      <w:r>
        <w:rPr>
          <w:rFonts w:ascii="Times New Roman CYR" w:cs="Times New Roman CYR" w:hAnsi="Times New Roman CYR"/>
          <w:szCs w:val="28"/>
        </w:rPr>
        <w:t xml:space="preserve"> об охране объектов культурного насл</w:t>
      </w:r>
      <w:r>
        <w:rPr>
          <w:rFonts w:ascii="Times New Roman CYR" w:cs="Times New Roman CYR" w:hAnsi="Times New Roman CYR"/>
          <w:szCs w:val="28"/>
        </w:rPr>
        <w:t>е</w:t>
      </w:r>
      <w:r>
        <w:rPr>
          <w:rFonts w:ascii="Times New Roman CYR" w:cs="Times New Roman CYR" w:hAnsi="Times New Roman CYR"/>
          <w:szCs w:val="28"/>
        </w:rPr>
        <w:t>дия (памятников истории и культуры) народов Российской Федерации.</w:t>
      </w:r>
    </w:p>
    <w:p w14:paraId="000000E5">
      <w:pPr>
        <w:widowControl w:val="off"/>
        <w:rPr>
          <w:rFonts w:ascii="Times New Roman CYR" w:cs="Times New Roman CYR" w:hAnsi="Times New Roman CYR"/>
          <w:color w:val="000000"/>
          <w:szCs w:val="28"/>
        </w:rPr>
      </w:pPr>
      <w:bookmarkEnd w:id="108"/>
      <w:r>
        <w:rPr>
          <w:rFonts w:ascii="Times New Roman CYR" w:cs="Times New Roman CYR" w:hAnsi="Times New Roman CYR"/>
          <w:color w:val="000000"/>
          <w:szCs w:val="28"/>
        </w:rPr>
        <w:t>7.7</w:t>
      </w:r>
      <w:r>
        <w:rPr>
          <w:rFonts w:ascii="Times New Roman CYR" w:cs="Times New Roman CYR" w:hAnsi="Times New Roman CYR"/>
          <w:color w:val="000000"/>
          <w:szCs w:val="28"/>
        </w:rPr>
        <w:t xml:space="preserve"> В</w:t>
      </w:r>
      <w:r>
        <w:rPr>
          <w:rFonts w:ascii="Times New Roman CYR" w:cs="Times New Roman CYR" w:hAnsi="Times New Roman CYR"/>
          <w:color w:val="000000"/>
          <w:szCs w:val="28"/>
        </w:rPr>
        <w:t xml:space="preserve"> случае подготовки проекта межевания территории, расположенной в границах элемента или элементов планировочной структуры, утвержденных проектом планировки те</w:t>
      </w:r>
      <w:r>
        <w:rPr>
          <w:rFonts w:ascii="Times New Roman CYR" w:cs="Times New Roman CYR" w:hAnsi="Times New Roman CYR"/>
          <w:color w:val="000000"/>
          <w:szCs w:val="28"/>
        </w:rPr>
        <w:t>р</w:t>
      </w:r>
      <w:r>
        <w:rPr>
          <w:rFonts w:ascii="Times New Roman CYR" w:cs="Times New Roman CYR" w:hAnsi="Times New Roman CYR"/>
          <w:color w:val="000000"/>
          <w:szCs w:val="28"/>
        </w:rPr>
        <w:t>ритории, в виде отдельного документа общественные обсуждения или публичные слушания не проводятся, за исключением случая подготовки проекта межевания территории для уст</w:t>
      </w:r>
      <w:r>
        <w:rPr>
          <w:rFonts w:ascii="Times New Roman CYR" w:cs="Times New Roman CYR" w:hAnsi="Times New Roman CYR"/>
          <w:color w:val="000000"/>
          <w:szCs w:val="28"/>
        </w:rPr>
        <w:t>а</w:t>
      </w:r>
      <w:r>
        <w:rPr>
          <w:rFonts w:ascii="Times New Roman CYR" w:cs="Times New Roman CYR" w:hAnsi="Times New Roman CYR"/>
          <w:color w:val="000000"/>
          <w:szCs w:val="28"/>
        </w:rPr>
        <w:t>новления, изменения, отмены красных линий в связи с образованием и (или) изменением з</w:t>
      </w:r>
      <w:r>
        <w:rPr>
          <w:rFonts w:ascii="Times New Roman CYR" w:cs="Times New Roman CYR" w:hAnsi="Times New Roman CYR"/>
          <w:color w:val="000000"/>
          <w:szCs w:val="28"/>
        </w:rPr>
        <w:t>е</w:t>
      </w:r>
      <w:r>
        <w:rPr>
          <w:rFonts w:ascii="Times New Roman CYR" w:cs="Times New Roman CYR" w:hAnsi="Times New Roman CYR"/>
          <w:color w:val="000000"/>
          <w:szCs w:val="28"/>
        </w:rPr>
        <w:t>мельного участка, расположенного в границах территории, в отношении которой не пред</w:t>
      </w:r>
      <w:r>
        <w:rPr>
          <w:rFonts w:ascii="Times New Roman CYR" w:cs="Times New Roman CYR" w:hAnsi="Times New Roman CYR"/>
          <w:color w:val="000000"/>
          <w:szCs w:val="28"/>
        </w:rPr>
        <w:t>у</w:t>
      </w:r>
      <w:r>
        <w:rPr>
          <w:rFonts w:ascii="Times New Roman CYR" w:cs="Times New Roman CYR" w:hAnsi="Times New Roman CYR"/>
          <w:color w:val="000000"/>
          <w:szCs w:val="28"/>
        </w:rPr>
        <w:t>сматривается осуществление комплексного развития территории, при условии, что такие установление, изменение красных линий влекут за собой изменение границ территории общ</w:t>
      </w:r>
      <w:r>
        <w:rPr>
          <w:rFonts w:ascii="Times New Roman CYR" w:cs="Times New Roman CYR" w:hAnsi="Times New Roman CYR"/>
          <w:color w:val="000000"/>
          <w:szCs w:val="28"/>
        </w:rPr>
        <w:t>е</w:t>
      </w:r>
      <w:r>
        <w:rPr>
          <w:rFonts w:ascii="Times New Roman CYR" w:cs="Times New Roman CYR" w:hAnsi="Times New Roman CYR"/>
          <w:color w:val="000000"/>
          <w:szCs w:val="28"/>
        </w:rPr>
        <w:t>го пользования.</w:t>
      </w:r>
    </w:p>
    <w:p w14:paraId="000000E6">
      <w:pPr>
        <w:pStyle w:val="Heading3"/>
        <w:rPr/>
      </w:pPr>
      <w:bookmarkEnd w:id="72"/>
      <w:bookmarkEnd w:id="73"/>
      <w:bookmarkEnd w:id="98"/>
      <w:bookmarkStart w:id="109" w:name="_Toc89422067"/>
      <w:bookmarkStart w:id="110" w:name="_Toc159317551"/>
      <w:r>
        <w:t>Статья 14. Подготовка и утверждение документации по планировке территории, порядок внесения в нее изменений и ее отмены</w:t>
      </w:r>
      <w:bookmarkEnd w:id="109"/>
      <w:bookmarkEnd w:id="110"/>
    </w:p>
    <w:p w14:paraId="000000E7">
      <w:pPr>
        <w:widowControl w:val="off"/>
        <w:rPr>
          <w:rFonts w:ascii="Times New Roman CYR" w:cs="Times New Roman CYR" w:hAnsi="Times New Roman CYR"/>
        </w:rPr>
      </w:pPr>
      <w:bookmarkStart w:id="111" w:name="Par5"/>
      <w:bookmarkEnd w:id="111"/>
      <w:r>
        <w:rPr>
          <w:rFonts w:ascii="Times New Roman CYR" w:cs="Times New Roman CYR" w:hAnsi="Times New Roman CYR"/>
        </w:rPr>
        <w:t>1</w:t>
      </w:r>
      <w:r>
        <w:rPr>
          <w:rFonts w:ascii="Times New Roman CYR" w:cs="Times New Roman CYR" w:hAnsi="Times New Roman CYR"/>
        </w:rPr>
        <w:t xml:space="preserve">. Решения о подготовке документации по планировке территории </w:t>
      </w:r>
      <w:r>
        <w:rPr>
          <w:color w:val="000000"/>
        </w:rPr>
        <w:t>принимаются упо</w:t>
      </w:r>
      <w:r>
        <w:rPr>
          <w:color w:val="000000"/>
        </w:rPr>
        <w:t>л</w:t>
      </w:r>
      <w:r>
        <w:rPr>
          <w:color w:val="000000"/>
        </w:rPr>
        <w:t>номоченными федеральными органами исполнительной власти, органами исполнительной власти субъекта Российской Федерации, органами местного самоуправления, за исключением случаев, указанных в частях 1.1 и 8 настоящей статьи</w:t>
      </w:r>
      <w:r>
        <w:rPr>
          <w:rFonts w:ascii="Times New Roman CYR" w:cs="Times New Roman CYR" w:hAnsi="Times New Roman CYR"/>
        </w:rPr>
        <w:t>.</w:t>
      </w:r>
    </w:p>
    <w:p w14:paraId="000000E8">
      <w:pPr>
        <w:widowControl w:val="off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>1.1. Решения о подготовке документации по планировке территории принимаются с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мостоятельно:</w:t>
      </w:r>
    </w:p>
    <w:p w14:paraId="000000E9">
      <w:pPr>
        <w:widowControl w:val="off"/>
        <w:rPr>
          <w:rFonts w:ascii="Times New Roman CYR" w:cs="Times New Roman CYR" w:hAnsi="Times New Roman CYR"/>
          <w:color w:val="ff0000"/>
        </w:rPr>
      </w:pPr>
      <w:bookmarkStart w:id="112" w:name="sub_45114"/>
      <w:r>
        <w:rPr>
          <w:rFonts w:ascii="Times New Roman CYR" w:cs="Times New Roman CYR" w:hAnsi="Times New Roman CYR"/>
        </w:rPr>
        <w:t xml:space="preserve">1) </w:t>
      </w:r>
      <w:r>
        <w:rPr>
          <w:rFonts w:ascii="Times New Roman CYR" w:cs="Times New Roman CYR" w:hAnsi="Times New Roman CYR"/>
          <w:color w:val="000000"/>
        </w:rPr>
        <w:t>лицами, с которыми заключены договоры о комплексном развитии территории;</w:t>
      </w:r>
    </w:p>
    <w:p w14:paraId="000000EA">
      <w:pPr>
        <w:rPr>
          <w:rFonts w:ascii="Verdana" w:hAnsi="Verdana"/>
          <w:sz w:val="21"/>
          <w:szCs w:val="21"/>
        </w:rPr>
      </w:pPr>
      <w:bookmarkStart w:id="113" w:name="sub_45113"/>
      <w:r>
        <w:rPr>
          <w:rFonts w:ascii="Times New Roman CYR" w:cs="Times New Roman CYR" w:hAnsi="Times New Roman CYR"/>
        </w:rPr>
        <w:t xml:space="preserve">2) правообладателями существующих линейных объектов, подлежащих реконструкции, в случае подготовки документации по планировке территории в целях их реконструкции </w:t>
      </w:r>
      <w:r>
        <w:rPr>
          <w:color w:val="000000"/>
        </w:rPr>
        <w:t>(за исключением случая, указанного в части 8 настоящей статьи)</w:t>
      </w:r>
      <w:r>
        <w:rPr>
          <w:rFonts w:ascii="Verdana" w:hAnsi="Verdana"/>
          <w:color w:val="000000"/>
          <w:sz w:val="21"/>
          <w:szCs w:val="21"/>
        </w:rPr>
        <w:t>;</w:t>
      </w:r>
    </w:p>
    <w:p w14:paraId="000000EB">
      <w:pPr>
        <w:widowControl w:val="off"/>
        <w:rPr>
          <w:rFonts w:ascii="Times New Roman CYR" w:cs="Times New Roman CYR" w:hAnsi="Times New Roman CYR"/>
        </w:rPr>
      </w:pPr>
      <w:bookmarkEnd w:id="113"/>
      <w:r>
        <w:rPr>
          <w:rFonts w:ascii="Times New Roman CYR" w:cs="Times New Roman CYR" w:hAnsi="Times New Roman CYR"/>
        </w:rPr>
        <w:t>3) субъектами естественных монополий, организациями коммунального комплекса в случае подготовки документации по планировке территории для размещения объектов фед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рального значения, объектов регионального значения, объектов местного значения реко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 xml:space="preserve">струкции </w:t>
      </w:r>
      <w:r>
        <w:rPr>
          <w:color w:val="000000"/>
        </w:rPr>
        <w:t>(за исключением случая, указанного в части 8 настоящей статьи)</w:t>
      </w:r>
      <w:r>
        <w:rPr>
          <w:rFonts w:ascii="Times New Roman CYR" w:cs="Times New Roman CYR" w:hAnsi="Times New Roman CYR"/>
          <w:color w:val="000000"/>
        </w:rPr>
        <w:t>;</w:t>
      </w:r>
    </w:p>
    <w:p w14:paraId="000000EC">
      <w:pPr>
        <w:widowControl w:val="off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>4) садоводческим или огородническим некоммерческим товариществом в отношении земельного участка, предоставленного такому товариществу для ведения садоводства или огородничества.</w:t>
      </w:r>
    </w:p>
    <w:p w14:paraId="000000ED">
      <w:pPr>
        <w:widowControl w:val="off"/>
        <w:rPr>
          <w:rFonts w:ascii="Times New Roman CYR" w:cs="Times New Roman CYR" w:hAnsi="Times New Roman CYR"/>
        </w:rPr>
      </w:pPr>
      <w:bookmarkEnd w:id="112"/>
      <w:r>
        <w:rPr>
          <w:rFonts w:ascii="Times New Roman CYR" w:cs="Times New Roman CYR" w:hAnsi="Times New Roman CYR"/>
        </w:rPr>
        <w:t xml:space="preserve">1.2. В случаях, предусмотренных </w:t>
      </w:r>
      <w:r>
        <w:rPr>
          <w:rFonts w:ascii="Times New Roman CYR" w:cs="Times New Roman CYR" w:hAnsi="Times New Roman CYR"/>
          <w:color w:val="000000"/>
        </w:rPr>
        <w:t>частью 1.1</w:t>
      </w:r>
      <w:r>
        <w:rPr>
          <w:rFonts w:ascii="Times New Roman CYR" w:cs="Times New Roman CYR" w:hAnsi="Times New Roman CYR"/>
        </w:rPr>
        <w:t xml:space="preserve"> настоящей статьи, подготовка документ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ции по планировке территории осуществляется указанными лицами за счет их средств сам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стоятельно или привлекаемыми организациями в соответствии с законодательством Росси</w:t>
      </w:r>
      <w:r>
        <w:rPr>
          <w:rFonts w:ascii="Times New Roman CYR" w:cs="Times New Roman CYR" w:hAnsi="Times New Roman CYR"/>
        </w:rPr>
        <w:t>й</w:t>
      </w:r>
      <w:r>
        <w:rPr>
          <w:rFonts w:ascii="Times New Roman CYR" w:cs="Times New Roman CYR" w:hAnsi="Times New Roman CYR"/>
        </w:rPr>
        <w:t>ской Федерации. Расходы указанных лиц на подготовку документации по планировке терр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 xml:space="preserve">тории не </w:t>
      </w:r>
      <w:r>
        <w:rPr>
          <w:rFonts w:ascii="Times New Roman CYR" w:cs="Times New Roman CYR" w:hAnsi="Times New Roman CYR"/>
        </w:rPr>
        <w:t>подлежит</w:t>
      </w:r>
      <w:r>
        <w:rPr>
          <w:rFonts w:ascii="Times New Roman CYR" w:cs="Times New Roman CYR" w:hAnsi="Times New Roman CYR"/>
        </w:rPr>
        <w:t xml:space="preserve"> возмещению за счет средств бюджетов бюджетной системы Российской Федерации.</w:t>
      </w:r>
    </w:p>
    <w:p w14:paraId="000000EE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2</w:t>
      </w:r>
      <w:r>
        <w:rPr>
          <w:rFonts w:ascii="Times New Roman CYR" w:cs="Times New Roman CYR" w:hAnsi="Times New Roman CYR"/>
          <w:color w:val="000000"/>
        </w:rPr>
        <w:t>.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 CYR" w:cs="Times New Roman CYR" w:hAnsi="Times New Roman CYR"/>
          <w:color w:val="000000"/>
        </w:rPr>
        <w:t>Органы местного самоуправления поселения принимают</w:t>
      </w:r>
      <w:r>
        <w:rPr>
          <w:rFonts w:ascii="Times New Roman CYR" w:cs="Times New Roman CYR" w:hAnsi="Times New Roman CYR"/>
          <w:color w:val="000000"/>
        </w:rPr>
        <w:t xml:space="preserve"> решение о подготовке д</w:t>
      </w:r>
      <w:r>
        <w:rPr>
          <w:rFonts w:ascii="Times New Roman CYR" w:cs="Times New Roman CYR" w:hAnsi="Times New Roman CYR"/>
          <w:color w:val="000000"/>
        </w:rPr>
        <w:t>о</w:t>
      </w:r>
      <w:r>
        <w:rPr>
          <w:rFonts w:ascii="Times New Roman CYR" w:cs="Times New Roman CYR" w:hAnsi="Times New Roman CYR"/>
          <w:color w:val="000000"/>
        </w:rPr>
        <w:t>кументации по планировке территории, обеспечивают подготовку документации по планиро</w:t>
      </w:r>
      <w:r>
        <w:rPr>
          <w:rFonts w:ascii="Times New Roman CYR" w:cs="Times New Roman CYR" w:hAnsi="Times New Roman CYR"/>
          <w:color w:val="000000"/>
        </w:rPr>
        <w:t>в</w:t>
      </w:r>
      <w:r>
        <w:rPr>
          <w:rFonts w:ascii="Times New Roman CYR" w:cs="Times New Roman CYR" w:hAnsi="Times New Roman CYR"/>
          <w:color w:val="000000"/>
        </w:rPr>
        <w:t>ке территории, за исключением случаев, указанных в </w:t>
      </w:r>
      <w:r>
        <w:fldChar w:fldCharType="begin"/>
      </w:r>
      <w:r>
        <w:instrText xml:space="preserve">HYPERLINK "https://base.garant.ru/12138258/c7f0164139c159e5c4e7786790ae469d/" \l "block_4511" </w:instrText>
      </w:r>
      <w:r>
        <w:fldChar w:fldCharType="separate"/>
      </w:r>
      <w:r>
        <w:rPr>
          <w:color w:val="000000"/>
        </w:rPr>
        <w:t>части 1.1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настоящей статьи, и утвержд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ют документацию по планировке территории в границах поселения.</w:t>
      </w:r>
    </w:p>
    <w:p w14:paraId="000000EF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 xml:space="preserve">2.1. </w:t>
      </w:r>
      <w:r>
        <w:rPr>
          <w:rFonts w:ascii="Times New Roman CYR" w:cs="Times New Roman CYR" w:hAnsi="Times New Roman CYR"/>
          <w:color w:val="000000"/>
        </w:rPr>
        <w:t>Принятие решения о подготовке документации по планировке территории, обесп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чение подготовки документации по планировке территории и утверждение документации по планировке территории, предусматривающей размещение объекта местного значения посел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ния, финансирование строительства, реконструкции которого осуществляется полностью за счет средств местного бюджета поселения и размещение которого планируется на территор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ях двух и более поселений, имеющих общую границу, в границах муниципального района, осуществляются органом местного самоуправления поселения</w:t>
      </w:r>
      <w:r>
        <w:rPr>
          <w:rFonts w:ascii="Times New Roman CYR" w:cs="Times New Roman CYR" w:hAnsi="Times New Roman CYR"/>
          <w:color w:val="000000"/>
        </w:rPr>
        <w:t xml:space="preserve">, за счет средств местного </w:t>
      </w:r>
      <w:r>
        <w:rPr>
          <w:rFonts w:ascii="Times New Roman CYR" w:cs="Times New Roman CYR" w:hAnsi="Times New Roman CYR"/>
          <w:color w:val="000000"/>
        </w:rPr>
        <w:t>бю</w:t>
      </w:r>
      <w:r>
        <w:rPr>
          <w:rFonts w:ascii="Times New Roman CYR" w:cs="Times New Roman CYR" w:hAnsi="Times New Roman CYR"/>
          <w:color w:val="000000"/>
        </w:rPr>
        <w:t>д</w:t>
      </w:r>
      <w:r>
        <w:rPr>
          <w:rFonts w:ascii="Times New Roman CYR" w:cs="Times New Roman CYR" w:hAnsi="Times New Roman CYR"/>
          <w:color w:val="000000"/>
        </w:rPr>
        <w:t>жета</w:t>
      </w:r>
      <w:r>
        <w:rPr>
          <w:rFonts w:ascii="Times New Roman CYR" w:cs="Times New Roman CYR" w:hAnsi="Times New Roman CYR"/>
          <w:color w:val="000000"/>
        </w:rPr>
        <w:t xml:space="preserve"> которого планируется финансирование строительства, реконструкции такого объекта, по согласованию с иными поселениями, на территориях которых планируются строительство, реконструкция такого объекта. Предоставление согласования или отказа в согласовании док</w:t>
      </w:r>
      <w:r>
        <w:rPr>
          <w:rFonts w:ascii="Times New Roman CYR" w:cs="Times New Roman CYR" w:hAnsi="Times New Roman CYR"/>
          <w:color w:val="000000"/>
        </w:rPr>
        <w:t>у</w:t>
      </w:r>
      <w:r>
        <w:rPr>
          <w:rFonts w:ascii="Times New Roman CYR" w:cs="Times New Roman CYR" w:hAnsi="Times New Roman CYR"/>
          <w:color w:val="000000"/>
        </w:rPr>
        <w:t>ментации по планировке территории органу местного самоуправления поселения, за счет средств местного бюджета которого планируется финансирование строительства, реконстру</w:t>
      </w:r>
      <w:r>
        <w:rPr>
          <w:rFonts w:ascii="Times New Roman CYR" w:cs="Times New Roman CYR" w:hAnsi="Times New Roman CYR"/>
          <w:color w:val="000000"/>
        </w:rPr>
        <w:t>к</w:t>
      </w:r>
      <w:r>
        <w:rPr>
          <w:rFonts w:ascii="Times New Roman CYR" w:cs="Times New Roman CYR" w:hAnsi="Times New Roman CYR"/>
          <w:color w:val="000000"/>
        </w:rPr>
        <w:t>ции такого объекта, осуществляется органами местного самоуправления поселений, на</w:t>
      </w:r>
      <w:r>
        <w:rPr>
          <w:rFonts w:ascii="Times New Roman CYR" w:cs="Times New Roman CYR" w:hAnsi="Times New Roman CYR"/>
          <w:color w:val="000000"/>
        </w:rPr>
        <w:t xml:space="preserve"> терр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ториях которых планируются строительство, реконструкция такого объекта, в течение пятн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дцати рабочих дней со дня поступления им указанной документации.</w:t>
      </w:r>
    </w:p>
    <w:p w14:paraId="000000F0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2.2</w:t>
      </w:r>
      <w:r>
        <w:rPr>
          <w:rFonts w:ascii="Times New Roman CYR" w:cs="Times New Roman CYR" w:hAnsi="Times New Roman CYR"/>
          <w:color w:val="000000"/>
        </w:rPr>
        <w:t xml:space="preserve">. </w:t>
      </w:r>
      <w:r>
        <w:rPr>
          <w:rFonts w:ascii="Times New Roman CYR" w:cs="Times New Roman CYR" w:hAnsi="Times New Roman CYR"/>
          <w:color w:val="000000"/>
        </w:rPr>
        <w:t>В случае отказа в согласовании документации по планировке территории одним или несколькими органами местного самоуправления поселений, на территориях которых планируются строительство, реконструкция объекта местного значения поселения, утвержд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ния </w:t>
      </w:r>
      <w:r>
        <w:fldChar w:fldCharType="begin"/>
      </w:r>
      <w:r>
        <w:instrText xml:space="preserve">HYPERLINK "https://base.garant.ru/71646916/582545ba52e0e0d23dd67d4b21e62bae/" \l "block_29" </w:instrText>
      </w:r>
      <w:r>
        <w:fldChar w:fldCharType="separate"/>
      </w:r>
      <w:r>
        <w:rPr>
          <w:color w:val="000000"/>
        </w:rPr>
        <w:t>разногласий</w:t>
      </w:r>
      <w:r>
        <w:fldChar w:fldCharType="end"/>
      </w:r>
      <w:r>
        <w:rPr>
          <w:color w:val="000000"/>
        </w:rPr>
        <w:t> </w:t>
      </w:r>
      <w:r>
        <w:rPr>
          <w:rFonts w:ascii="Times New Roman CYR" w:cs="Times New Roman CYR" w:hAnsi="Times New Roman CYR"/>
          <w:color w:val="000000"/>
        </w:rPr>
        <w:t>согласительной комиссией, требования к составу и</w:t>
      </w:r>
      <w:r>
        <w:rPr>
          <w:rFonts w:ascii="Times New Roman CYR" w:cs="Times New Roman CYR" w:hAnsi="Times New Roman CYR"/>
          <w:color w:val="000000"/>
        </w:rPr>
        <w:t xml:space="preserve"> порядку работы которой устанавливаются Правительством Российской Федерации.</w:t>
      </w:r>
    </w:p>
    <w:p w14:paraId="000000F1">
      <w:pPr>
        <w:widowControl w:val="off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 xml:space="preserve">2.3. Указанное в </w:t>
      </w:r>
      <w:r>
        <w:fldChar w:fldCharType="begin"/>
      </w:r>
      <w:r>
        <w:instrText xml:space="preserve">HYPERLINK \l "sub_4601"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части 1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 решение подлежит опубликованию в поря</w:t>
      </w:r>
      <w:r>
        <w:rPr>
          <w:rFonts w:ascii="Times New Roman CYR" w:cs="Times New Roman CYR" w:hAnsi="Times New Roman CYR"/>
        </w:rPr>
        <w:t>д</w:t>
      </w:r>
      <w:r>
        <w:rPr>
          <w:rFonts w:ascii="Times New Roman CYR" w:cs="Times New Roman CYR" w:hAnsi="Times New Roman CYR"/>
        </w:rPr>
        <w:t>ке, установленном для официального опубликования муниципальных правовых актов, иной официальной информации, в течение трех дней со дня принятия такого решения и размещае</w:t>
      </w:r>
      <w:r>
        <w:rPr>
          <w:rFonts w:ascii="Times New Roman CYR" w:cs="Times New Roman CYR" w:hAnsi="Times New Roman CYR"/>
        </w:rPr>
        <w:t>т</w:t>
      </w:r>
      <w:r>
        <w:rPr>
          <w:rFonts w:ascii="Times New Roman CYR" w:cs="Times New Roman CYR" w:hAnsi="Times New Roman CYR"/>
        </w:rPr>
        <w:t>ся на официальном сайте поселения (при наличии официального сайта поселения) в сети "И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>тернет".</w:t>
      </w:r>
    </w:p>
    <w:p w14:paraId="000000F2">
      <w:pPr>
        <w:widowControl w:val="off"/>
        <w:rPr>
          <w:rFonts w:ascii="Times New Roman CYR" w:cs="Times New Roman CYR" w:hAnsi="Times New Roman CYR"/>
        </w:rPr>
      </w:pPr>
      <w:bookmarkStart w:id="114" w:name="sub_4603"/>
      <w:r>
        <w:rPr>
          <w:rFonts w:ascii="Times New Roman CYR" w:cs="Times New Roman CYR" w:hAnsi="Times New Roman CYR"/>
        </w:rPr>
        <w:t>3. Со дня опубликования решения о подготовке документации по планировке террит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рии физические или юридические лица вправе представить в орган местного самоуправления поселения свои предложения о порядке, сроках подготовки и содержании документации по планировке территории.</w:t>
      </w:r>
    </w:p>
    <w:p w14:paraId="000000F3">
      <w:pPr>
        <w:widowControl w:val="off"/>
        <w:rPr>
          <w:rFonts w:ascii="Times New Roman CYR" w:cs="Times New Roman CYR" w:hAnsi="Times New Roman CYR"/>
        </w:rPr>
      </w:pPr>
      <w:bookmarkEnd w:id="114"/>
      <w:r>
        <w:rPr>
          <w:rFonts w:ascii="Times New Roman CYR" w:cs="Times New Roman CYR" w:hAnsi="Times New Roman CYR"/>
        </w:rPr>
        <w:t xml:space="preserve">3.1. Заинтересованные лица, указанные в </w:t>
      </w:r>
      <w:r>
        <w:rPr>
          <w:rFonts w:ascii="Times New Roman CYR" w:cs="Times New Roman CYR" w:hAnsi="Times New Roman CYR"/>
          <w:color w:val="000000"/>
        </w:rPr>
        <w:t>части 1.1 настоящей статьи,</w:t>
      </w:r>
      <w:r>
        <w:rPr>
          <w:rFonts w:ascii="Times New Roman CYR" w:cs="Times New Roman CYR" w:hAnsi="Times New Roman CYR"/>
        </w:rPr>
        <w:t xml:space="preserve"> осуществляют подготовку документации по планировке территории в соответствии с требованиями, указа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 xml:space="preserve">ными в </w:t>
      </w:r>
      <w:r>
        <w:rPr>
          <w:rFonts w:ascii="Times New Roman CYR" w:cs="Times New Roman CYR" w:hAnsi="Times New Roman CYR"/>
          <w:color w:val="000000"/>
        </w:rPr>
        <w:t xml:space="preserve">части 5 статьи </w:t>
      </w:r>
      <w:r>
        <w:rPr>
          <w:rFonts w:ascii="Times New Roman CYR" w:cs="Times New Roman CYR" w:hAnsi="Times New Roman CYR"/>
        </w:rPr>
        <w:t>13 настоящих Правил, и направляют ее для утверждения в орган мес</w:t>
      </w:r>
      <w:r>
        <w:rPr>
          <w:rFonts w:ascii="Times New Roman CYR" w:cs="Times New Roman CYR" w:hAnsi="Times New Roman CYR"/>
        </w:rPr>
        <w:t>т</w:t>
      </w:r>
      <w:r>
        <w:rPr>
          <w:rFonts w:ascii="Times New Roman CYR" w:cs="Times New Roman CYR" w:hAnsi="Times New Roman CYR"/>
        </w:rPr>
        <w:t>ного самоуправления поселения.</w:t>
      </w:r>
    </w:p>
    <w:p w14:paraId="000000F4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 xml:space="preserve">4. </w:t>
      </w:r>
      <w:r>
        <w:rPr>
          <w:rFonts w:ascii="Times New Roman CYR" w:cs="Times New Roman CYR" w:hAnsi="Times New Roman CYR"/>
          <w:color w:val="000000"/>
        </w:rPr>
        <w:t>Подготовка документации по планировке территории осуществляется на основании документов </w:t>
      </w:r>
      <w:r>
        <w:fldChar w:fldCharType="begin"/>
      </w:r>
      <w:r>
        <w:instrText xml:space="preserve">HYPERLINK "https://base.garant.ru/12138258/1cafb24d049dcd1e7707a22d98e9858f/" \l "block_102"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территориального планирования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, правил землепользования и застройки (за и</w:t>
      </w:r>
      <w:r>
        <w:rPr>
          <w:rFonts w:ascii="Times New Roman CYR" w:cs="Times New Roman CYR" w:hAnsi="Times New Roman CYR"/>
          <w:color w:val="000000"/>
        </w:rPr>
        <w:t>с</w:t>
      </w:r>
      <w:r>
        <w:rPr>
          <w:rFonts w:ascii="Times New Roman CYR" w:cs="Times New Roman CYR" w:hAnsi="Times New Roman CYR"/>
          <w:color w:val="000000"/>
        </w:rPr>
        <w:t>ключением подготовки документации по планировке территории, предусматривающей ра</w:t>
      </w:r>
      <w:r>
        <w:rPr>
          <w:rFonts w:ascii="Times New Roman CYR" w:cs="Times New Roman CYR" w:hAnsi="Times New Roman CYR"/>
          <w:color w:val="000000"/>
        </w:rPr>
        <w:t>з</w:t>
      </w:r>
      <w:r>
        <w:rPr>
          <w:rFonts w:ascii="Times New Roman CYR" w:cs="Times New Roman CYR" w:hAnsi="Times New Roman CYR"/>
          <w:color w:val="000000"/>
        </w:rPr>
        <w:t>мещение линейных объектов), лесохозяйственного регламента, положения об особо охраня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мой природной территории в соответствии с программами комплексного развития систем коммунальной инфраструктуры, программами комплексного развития транспортной инфр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структуры, программами комплексного развития социальной инфраструктуры, нормативами градостроительного проектирования, комплексными схемами организации дорожного</w:t>
      </w:r>
      <w:r>
        <w:rPr>
          <w:rFonts w:ascii="Times New Roman CYR" w:cs="Times New Roman CYR" w:hAnsi="Times New Roman CYR"/>
          <w:color w:val="000000"/>
        </w:rPr>
        <w:t xml:space="preserve"> </w:t>
      </w:r>
      <w:r>
        <w:rPr>
          <w:rFonts w:ascii="Times New Roman CYR" w:cs="Times New Roman CYR" w:hAnsi="Times New Roman CYR"/>
          <w:color w:val="000000"/>
        </w:rPr>
        <w:t>движ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ния, требованиями по обеспечению эффективности организации дорожного движения, ук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занными в </w:t>
      </w:r>
      <w:r>
        <w:fldChar w:fldCharType="begin"/>
      </w:r>
      <w:r>
        <w:instrText xml:space="preserve">HYPERLINK "https://base.garant.ru/71848756/9d78f2e21a0e8d6e5a75ac4e4a939832/" \l "block_111"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части 1 статьи 11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Федерального закона "Об организации дорожного движения в Российской Федерации и о внесении изменений в отдельные законодательные акты Росси</w:t>
      </w:r>
      <w:r>
        <w:rPr>
          <w:rFonts w:ascii="Times New Roman CYR" w:cs="Times New Roman CYR" w:hAnsi="Times New Roman CYR"/>
          <w:color w:val="000000"/>
        </w:rPr>
        <w:t>й</w:t>
      </w:r>
      <w:r>
        <w:rPr>
          <w:rFonts w:ascii="Times New Roman CYR" w:cs="Times New Roman CYR" w:hAnsi="Times New Roman CYR"/>
          <w:color w:val="000000"/>
        </w:rPr>
        <w:t>ской Федерации", требованиями технических регламентов, сводов правил с учетом матери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лов и результатов инженерных изысканий, границ территорий объектов культурного наследия, включенных в единый государственный реестр объектов культурного наследия (памятников истории</w:t>
      </w:r>
      <w:r>
        <w:rPr>
          <w:rFonts w:ascii="Times New Roman CYR" w:cs="Times New Roman CYR" w:hAnsi="Times New Roman CYR"/>
          <w:color w:val="000000"/>
        </w:rPr>
        <w:t xml:space="preserve"> и культуры) народов Российской Федерации, границ территорий выявленных объе</w:t>
      </w:r>
      <w:r>
        <w:rPr>
          <w:rFonts w:ascii="Times New Roman CYR" w:cs="Times New Roman CYR" w:hAnsi="Times New Roman CYR"/>
          <w:color w:val="000000"/>
        </w:rPr>
        <w:t>к</w:t>
      </w:r>
      <w:r>
        <w:rPr>
          <w:rFonts w:ascii="Times New Roman CYR" w:cs="Times New Roman CYR" w:hAnsi="Times New Roman CYR"/>
          <w:color w:val="000000"/>
        </w:rPr>
        <w:t>тов культурного наследия, границ </w:t>
      </w:r>
      <w:r>
        <w:fldChar w:fldCharType="begin"/>
      </w:r>
      <w:r>
        <w:instrText xml:space="preserve">HYPERLINK "https://base.garant.ru/12138258/1cafb24d049dcd1e7707a22d98e9858f/" \l "block_104"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зон с особыми условиями использования территорий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, если иное не предусмотрено </w:t>
      </w:r>
      <w:r>
        <w:fldChar w:fldCharType="begin"/>
      </w:r>
      <w:r>
        <w:instrText xml:space="preserve">HYPERLINK "https://base.garant.ru/12138258/c7f0164139c159e5c4e7786790ae469d/" \l "block_45102"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частью 4.2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настоящей статьи.</w:t>
      </w:r>
    </w:p>
    <w:p w14:paraId="000000F5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4.1. Лица, указанные в </w:t>
      </w:r>
      <w:r>
        <w:fldChar w:fldCharType="begin"/>
      </w:r>
      <w:r>
        <w:instrText xml:space="preserve">HYPERLINK "https://base.garant.ru/12138258/c7f0164139c159e5c4e7786790ae469d/" \l "block_45113"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пунктах 3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и </w:t>
      </w:r>
      <w:r>
        <w:fldChar w:fldCharType="begin"/>
      </w:r>
      <w:r>
        <w:instrText xml:space="preserve">HYPERLINK "https://base.garant.ru/12138258/c7f0164139c159e5c4e7786790ae469d/" \l "block_45114"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4 части 1.1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настоящей статьи, осуществляют подг</w:t>
      </w:r>
      <w:r>
        <w:rPr>
          <w:rFonts w:ascii="Times New Roman CYR" w:cs="Times New Roman CYR" w:hAnsi="Times New Roman CYR"/>
          <w:color w:val="000000"/>
        </w:rPr>
        <w:t>о</w:t>
      </w:r>
      <w:r>
        <w:rPr>
          <w:rFonts w:ascii="Times New Roman CYR" w:cs="Times New Roman CYR" w:hAnsi="Times New Roman CYR"/>
          <w:color w:val="000000"/>
        </w:rPr>
        <w:t>товку документации по планировке территории в соответствии с требованиями, указанными в </w:t>
      </w:r>
      <w:r>
        <w:fldChar w:fldCharType="begin"/>
      </w:r>
      <w:r>
        <w:instrText xml:space="preserve">HYPERLINK "https://base.garant.ru/12138258/c7f0164139c159e5c4e7786790ae469d/" \l "block_45010"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части 4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настоящей статьи, и направляют такую документацию для утверждения соотве</w:t>
      </w:r>
      <w:r>
        <w:rPr>
          <w:rFonts w:ascii="Times New Roman CYR" w:cs="Times New Roman CYR" w:hAnsi="Times New Roman CYR"/>
          <w:color w:val="000000"/>
        </w:rPr>
        <w:t>т</w:t>
      </w:r>
      <w:r>
        <w:rPr>
          <w:rFonts w:ascii="Times New Roman CYR" w:cs="Times New Roman CYR" w:hAnsi="Times New Roman CYR"/>
          <w:color w:val="000000"/>
        </w:rPr>
        <w:t>ственно в уполномоченные федеральные органы исполнительной власти, органы исполн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тельной власти субъекта Российской Федерации, органы местного самоуправления.</w:t>
      </w:r>
    </w:p>
    <w:p w14:paraId="000000F6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4.2. Подготовка документации по планировке территории в целях реализации решения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тории. В случае</w:t>
      </w:r>
      <w:r>
        <w:rPr>
          <w:rFonts w:ascii="Times New Roman CYR" w:cs="Times New Roman CYR" w:hAnsi="Times New Roman CYR"/>
          <w:color w:val="000000"/>
        </w:rPr>
        <w:t>,</w:t>
      </w:r>
      <w:r>
        <w:rPr>
          <w:rFonts w:ascii="Times New Roman CYR" w:cs="Times New Roman CYR" w:hAnsi="Times New Roman CYR"/>
          <w:color w:val="000000"/>
        </w:rPr>
        <w:t xml:space="preserve"> если для реализации решения о комплексном развитии территории требуется внесение изменений в генеральный план поселения, генеральный план городского округа, правила землепользования и застройки, подготовка указанной документации по планировке территории осуществляется одновременно с подготовкой изменений в данные генеральный </w:t>
      </w:r>
      <w:r>
        <w:rPr>
          <w:rFonts w:ascii="Times New Roman CYR" w:cs="Times New Roman CYR" w:hAnsi="Times New Roman CYR"/>
          <w:color w:val="000000"/>
        </w:rPr>
        <w:t>план поселения, генеральный план городского округа, правила землепользования и застройки. Утверждение указанной документации по планировке территории допускается до утвержд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ния этих изменений в данные генеральный план поселения, генеральный план городского округа, правила землепользования и застройки.</w:t>
      </w:r>
    </w:p>
    <w:p w14:paraId="000000F7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4.3. Со дня утверждения документации по планировке территории, в отношении кот</w:t>
      </w:r>
      <w:r>
        <w:rPr>
          <w:rFonts w:ascii="Times New Roman CYR" w:cs="Times New Roman CYR" w:hAnsi="Times New Roman CYR"/>
          <w:color w:val="000000"/>
        </w:rPr>
        <w:t>о</w:t>
      </w:r>
      <w:r>
        <w:rPr>
          <w:rFonts w:ascii="Times New Roman CYR" w:cs="Times New Roman CYR" w:hAnsi="Times New Roman CYR"/>
          <w:color w:val="000000"/>
        </w:rPr>
        <w:t>рой принято решение о ее комплексном развитии, ранее утвержденная документация по пл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нировке этой территории признается утратившей силу.</w:t>
      </w:r>
    </w:p>
    <w:p w14:paraId="000000F8">
      <w:pPr>
        <w:rPr>
          <w:rFonts w:ascii="Times New Roman CYR" w:cs="Times New Roman CYR" w:hAnsi="Times New Roman CYR"/>
        </w:rPr>
      </w:pPr>
      <w:bookmarkStart w:id="115" w:name="sub_4604"/>
      <w:r>
        <w:rPr>
          <w:rFonts w:ascii="Times New Roman CYR" w:cs="Times New Roman CYR" w:hAnsi="Times New Roman CYR"/>
        </w:rPr>
        <w:t xml:space="preserve">4.4. Орган местного самоуправления поселения осуществляет проверку документации по планировке территории на соответствие требованиям, установленным частью 4 статьи 13 настоящих </w:t>
      </w:r>
      <w:r>
        <w:rPr>
          <w:rFonts w:ascii="Times New Roman CYR" w:cs="Times New Roman CYR" w:hAnsi="Times New Roman CYR"/>
          <w:color w:val="000000"/>
        </w:rPr>
        <w:t xml:space="preserve">Правил </w:t>
      </w:r>
      <w:r>
        <w:rPr>
          <w:color w:val="000000"/>
        </w:rPr>
        <w:t>в течение двадцати рабочих дней со дня поступления такой документации</w:t>
      </w:r>
      <w:r>
        <w:rPr>
          <w:rFonts w:ascii="Times New Roman CYR" w:cs="Times New Roman CYR" w:hAnsi="Times New Roman CYR"/>
        </w:rPr>
        <w:t xml:space="preserve">. По результатам проверки указанные органы </w:t>
      </w:r>
      <w:r>
        <w:rPr>
          <w:color w:val="000000"/>
        </w:rPr>
        <w:t>обеспечивают рассмотрение документации по планировке территории на общественных обсуждениях или публичных слушаниях либо о</w:t>
      </w:r>
      <w:r>
        <w:rPr>
          <w:color w:val="000000"/>
        </w:rPr>
        <w:t>т</w:t>
      </w:r>
      <w:r>
        <w:rPr>
          <w:color w:val="000000"/>
        </w:rPr>
        <w:t>клоняют такую документацию и направляют ее на доработку</w:t>
      </w:r>
      <w:r>
        <w:rPr>
          <w:color w:val="00ff00"/>
        </w:rPr>
        <w:t>.</w:t>
      </w:r>
    </w:p>
    <w:p w14:paraId="000000F9">
      <w:pPr>
        <w:widowControl w:val="off"/>
        <w:rPr>
          <w:rFonts w:ascii="Times New Roman CYR" w:cs="Times New Roman CYR" w:hAnsi="Times New Roman CYR"/>
        </w:rPr>
      </w:pPr>
      <w:bookmarkEnd w:id="115"/>
      <w:r>
        <w:rPr>
          <w:rFonts w:ascii="Times New Roman CYR" w:cs="Times New Roman CYR" w:hAnsi="Times New Roman CYR"/>
        </w:rPr>
        <w:t xml:space="preserve">5. Проекты планировки территории и проекты межевания территории, решение об утверждении которых </w:t>
      </w:r>
      <w:r>
        <w:rPr>
          <w:rFonts w:ascii="Times New Roman CYR" w:cs="Times New Roman CYR" w:hAnsi="Times New Roman CYR"/>
        </w:rPr>
        <w:t xml:space="preserve">принимается в соответствии с Градостроительным Кодексом органами местного самоуправления поселения до их утверждения </w:t>
      </w:r>
      <w:r>
        <w:rPr>
          <w:rFonts w:ascii="Times New Roman CYR" w:cs="Times New Roman CYR" w:hAnsi="Times New Roman CYR"/>
        </w:rPr>
        <w:t>подлежит</w:t>
      </w:r>
      <w:r>
        <w:rPr>
          <w:rFonts w:ascii="Times New Roman CYR" w:cs="Times New Roman CYR" w:hAnsi="Times New Roman CYR"/>
        </w:rPr>
        <w:t xml:space="preserve"> обязательному рассмотр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нию на общественных обсуждениях или публичных слушаниях.</w:t>
      </w:r>
    </w:p>
    <w:p w14:paraId="000000FA">
      <w:pPr>
        <w:widowControl w:val="off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>5.1. Общественные обсуждения или публичные слушания по проекту планировки те</w:t>
      </w:r>
      <w:r>
        <w:rPr>
          <w:rFonts w:ascii="Times New Roman CYR" w:cs="Times New Roman CYR" w:hAnsi="Times New Roman CYR"/>
        </w:rPr>
        <w:t>р</w:t>
      </w:r>
      <w:r>
        <w:rPr>
          <w:rFonts w:ascii="Times New Roman CYR" w:cs="Times New Roman CYR" w:hAnsi="Times New Roman CYR"/>
        </w:rPr>
        <w:t xml:space="preserve">ритории и проекту межевания территории не проводятся, </w:t>
      </w:r>
      <w:r>
        <w:rPr>
          <w:rFonts w:ascii="Times New Roman CYR" w:cs="Times New Roman CYR" w:hAnsi="Times New Roman CYR"/>
          <w:color w:val="000000"/>
        </w:rPr>
        <w:t xml:space="preserve">в случае, предусмотренном частью 7.7 статьи 13 настоящих правил и частью 12 настоящей статьи, а также </w:t>
      </w:r>
      <w:r>
        <w:rPr>
          <w:rFonts w:ascii="Times New Roman CYR" w:cs="Times New Roman CYR" w:hAnsi="Times New Roman CYR"/>
        </w:rPr>
        <w:t>в случае, если проект планировки территории и проект межевания территории подготовлены в отношении:</w:t>
      </w:r>
    </w:p>
    <w:p w14:paraId="000000FB">
      <w:pPr>
        <w:widowControl w:val="off"/>
        <w:rPr>
          <w:rFonts w:ascii="Times New Roman CYR" w:cs="Times New Roman CYR" w:hAnsi="Times New Roman CYR"/>
          <w:color w:val="00ff00"/>
        </w:rPr>
      </w:pPr>
      <w:r>
        <w:rPr>
          <w:rFonts w:ascii="Times New Roman CYR" w:cs="Times New Roman CYR" w:hAnsi="Times New Roman CYR"/>
        </w:rPr>
        <w:t xml:space="preserve">1) территории в границах земельного участка, предоставленного </w:t>
      </w:r>
      <w:r>
        <w:rPr>
          <w:color w:val="000000"/>
        </w:rPr>
        <w:t>садоводческому или огородническому некоммерческому товариществу для ведения садоводства или огороднич</w:t>
      </w:r>
      <w:r>
        <w:rPr>
          <w:color w:val="000000"/>
        </w:rPr>
        <w:t>е</w:t>
      </w:r>
      <w:r>
        <w:rPr>
          <w:color w:val="000000"/>
        </w:rPr>
        <w:t>ства</w:t>
      </w:r>
      <w:r>
        <w:rPr>
          <w:rFonts w:ascii="Times New Roman CYR" w:cs="Times New Roman CYR" w:hAnsi="Times New Roman CYR"/>
          <w:color w:val="000000"/>
        </w:rPr>
        <w:t>;</w:t>
      </w:r>
    </w:p>
    <w:p w14:paraId="000000FC">
      <w:pPr>
        <w:widowControl w:val="off"/>
        <w:rPr>
          <w:rFonts w:ascii="Times New Roman CYR" w:cs="Times New Roman CYR" w:hAnsi="Times New Roman CYR"/>
        </w:rPr>
      </w:pPr>
      <w:bookmarkStart w:id="116" w:name="sub_18533"/>
      <w:r>
        <w:rPr>
          <w:rFonts w:ascii="Times New Roman CYR" w:cs="Times New Roman CYR" w:hAnsi="Times New Roman CYR"/>
        </w:rPr>
        <w:t>2) территории для размещения линейных объектов в границах земель лесного фонда.</w:t>
      </w:r>
    </w:p>
    <w:p w14:paraId="000000FD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 xml:space="preserve">5.2. </w:t>
      </w:r>
      <w:r>
        <w:rPr>
          <w:rFonts w:ascii="Times New Roman CYR" w:cs="Times New Roman CYR" w:hAnsi="Times New Roman CYR"/>
          <w:color w:val="000000"/>
        </w:rPr>
        <w:t>В случае внесения изменений в указанные в </w:t>
      </w:r>
      <w:r>
        <w:fldChar w:fldCharType="begin"/>
      </w:r>
      <w:r>
        <w:instrText xml:space="preserve">HYPERLINK "https://base.garant.ru/12138258/363aa18e6c32ff15fa5ec3b09cbefbf6/" \l "block_4605" </w:instrText>
      </w:r>
      <w:r>
        <w:fldChar w:fldCharType="separate"/>
      </w:r>
      <w:r>
        <w:rPr>
          <w:rFonts w:ascii="Times New Roman CYR" w:cs="Times New Roman CYR" w:hAnsi="Times New Roman CYR"/>
          <w:color w:val="000000"/>
        </w:rPr>
        <w:t>части 5</w:t>
      </w:r>
      <w:r>
        <w:fldChar w:fldCharType="end"/>
      </w:r>
      <w:r>
        <w:rPr>
          <w:rFonts w:ascii="Times New Roman CYR" w:cs="Times New Roman CYR" w:hAnsi="Times New Roman CYR"/>
          <w:color w:val="000000"/>
        </w:rPr>
        <w:t> настоящей статьи проект пл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нировки территории и (или) проект межевания территории путем утверждения их отдельных частей общественные обсуждения или публичные слушания проводятся применительно к т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ким утверждаемым частям.</w:t>
      </w:r>
    </w:p>
    <w:p w14:paraId="000000FE">
      <w:pPr>
        <w:widowControl w:val="off"/>
        <w:rPr>
          <w:rFonts w:ascii="Times New Roman CYR" w:cs="Times New Roman CYR" w:hAnsi="Times New Roman CYR"/>
        </w:rPr>
      </w:pPr>
      <w:bookmarkEnd w:id="116"/>
      <w:r>
        <w:rPr>
          <w:rFonts w:ascii="Times New Roman CYR" w:cs="Times New Roman CYR" w:hAnsi="Times New Roman CYR"/>
        </w:rPr>
        <w:t>6. Общественные обсуждения или публичные слушания по проекту планировки терр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 xml:space="preserve">тории и проекту межевания территории проводятся в порядке, установленном статьей 15 </w:t>
      </w:r>
      <w:r>
        <w:rPr>
          <w:rFonts w:ascii="Times New Roman CYR" w:cs="Times New Roman CYR" w:hAnsi="Times New Roman CYR"/>
          <w:color w:val="000000"/>
        </w:rPr>
        <w:t>настоящих правил</w:t>
      </w:r>
      <w:r>
        <w:rPr>
          <w:rFonts w:ascii="Times New Roman CYR" w:cs="Times New Roman CYR" w:hAnsi="Times New Roman CYR"/>
        </w:rPr>
        <w:t>, с учетом положений настоящей статьи.</w:t>
      </w:r>
    </w:p>
    <w:p w14:paraId="000000FF">
      <w:pPr>
        <w:widowControl w:val="off"/>
        <w:rPr/>
      </w:pPr>
      <w:r>
        <w:rPr>
          <w:rFonts w:ascii="Times New Roman CYR" w:cs="Times New Roman CYR" w:hAnsi="Times New Roman CYR"/>
        </w:rPr>
        <w:t xml:space="preserve">7. </w:t>
      </w:r>
      <w:r>
        <w:t>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(или) нормативным правовым актом представител</w:t>
      </w:r>
      <w:r>
        <w:t>ь</w:t>
      </w:r>
      <w:r>
        <w:t>ного органа муниципального образования и не может превышать один месяц.</w:t>
      </w:r>
    </w:p>
    <w:p w14:paraId="00000100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8. В случае</w:t>
      </w:r>
      <w:r>
        <w:rPr>
          <w:rFonts w:ascii="Times New Roman CYR" w:cs="Times New Roman CYR" w:hAnsi="Times New Roman CYR"/>
          <w:color w:val="000000"/>
        </w:rPr>
        <w:t>,</w:t>
      </w:r>
      <w:r>
        <w:rPr>
          <w:rFonts w:ascii="Times New Roman CYR" w:cs="Times New Roman CYR" w:hAnsi="Times New Roman CYR"/>
          <w:color w:val="000000"/>
        </w:rPr>
        <w:t xml:space="preserve"> если в связи с планируемыми строительством, реконструкцией линейного объекта федерального значения, линейного объекта регионального значения, линейного об</w:t>
      </w:r>
      <w:r>
        <w:rPr>
          <w:rFonts w:ascii="Times New Roman CYR" w:cs="Times New Roman CYR" w:hAnsi="Times New Roman CYR"/>
          <w:color w:val="000000"/>
        </w:rPr>
        <w:t>ъ</w:t>
      </w:r>
      <w:r>
        <w:rPr>
          <w:rFonts w:ascii="Times New Roman CYR" w:cs="Times New Roman CYR" w:hAnsi="Times New Roman CYR"/>
          <w:color w:val="000000"/>
        </w:rPr>
        <w:t>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объектов, такая реконструкция существующих линейного объекта или линейных объектов может осущест</w:t>
      </w:r>
      <w:r>
        <w:rPr>
          <w:rFonts w:ascii="Times New Roman CYR" w:cs="Times New Roman CYR" w:hAnsi="Times New Roman CYR"/>
          <w:color w:val="000000"/>
        </w:rPr>
        <w:t>в</w:t>
      </w:r>
      <w:r>
        <w:rPr>
          <w:rFonts w:ascii="Times New Roman CYR" w:cs="Times New Roman CYR" w:hAnsi="Times New Roman CYR"/>
          <w:color w:val="000000"/>
        </w:rPr>
        <w:t xml:space="preserve">ляться на основании указанного проекта планировки территории (за исключением случаев, если для такой реконструкции существующих линейного объекта или линейных объектов не требуется разработка проекта планировки территории). </w:t>
      </w:r>
      <w:r>
        <w:rPr>
          <w:rFonts w:ascii="Times New Roman CYR" w:cs="Times New Roman CYR" w:hAnsi="Times New Roman CYR"/>
          <w:color w:val="000000"/>
        </w:rPr>
        <w:t>При этом указанный проект планиро</w:t>
      </w:r>
      <w:r>
        <w:rPr>
          <w:rFonts w:ascii="Times New Roman CYR" w:cs="Times New Roman CYR" w:hAnsi="Times New Roman CYR"/>
          <w:color w:val="000000"/>
        </w:rPr>
        <w:t>в</w:t>
      </w:r>
      <w:r>
        <w:rPr>
          <w:rFonts w:ascii="Times New Roman CYR" w:cs="Times New Roman CYR" w:hAnsi="Times New Roman CYR"/>
          <w:color w:val="000000"/>
        </w:rPr>
        <w:t>ки территории подлежит согласованию с органом государственной власти или органом мес</w:t>
      </w:r>
      <w:r>
        <w:rPr>
          <w:rFonts w:ascii="Times New Roman CYR" w:cs="Times New Roman CYR" w:hAnsi="Times New Roman CYR"/>
          <w:color w:val="000000"/>
        </w:rPr>
        <w:t>т</w:t>
      </w:r>
      <w:r>
        <w:rPr>
          <w:rFonts w:ascii="Times New Roman CYR" w:cs="Times New Roman CYR" w:hAnsi="Times New Roman CYR"/>
          <w:color w:val="000000"/>
        </w:rPr>
        <w:t>ного самоуправления, уполномоченными на утверждение проекта планировки территории с</w:t>
      </w:r>
      <w:r>
        <w:rPr>
          <w:rFonts w:ascii="Times New Roman CYR" w:cs="Times New Roman CYR" w:hAnsi="Times New Roman CYR"/>
          <w:color w:val="000000"/>
        </w:rPr>
        <w:t>у</w:t>
      </w:r>
      <w:r>
        <w:rPr>
          <w:rFonts w:ascii="Times New Roman CYR" w:cs="Times New Roman CYR" w:hAnsi="Times New Roman CYR"/>
          <w:color w:val="000000"/>
        </w:rPr>
        <w:t>ществующих линейного объекта или линейных объектов, подлежащих реконструкции в связи с предусмотренными настоящей частью планируемыми строительством, реконструкцией л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нейного объекта федерального значения, линейного объекта регионального значения, лине</w:t>
      </w:r>
      <w:r>
        <w:rPr>
          <w:rFonts w:ascii="Times New Roman CYR" w:cs="Times New Roman CYR" w:hAnsi="Times New Roman CYR"/>
          <w:color w:val="000000"/>
        </w:rPr>
        <w:t>й</w:t>
      </w:r>
      <w:r>
        <w:rPr>
          <w:rFonts w:ascii="Times New Roman CYR" w:cs="Times New Roman CYR" w:hAnsi="Times New Roman CYR"/>
          <w:color w:val="000000"/>
        </w:rPr>
        <w:t>ного объекта местного значения.</w:t>
      </w:r>
      <w:r>
        <w:rPr>
          <w:rFonts w:ascii="Times New Roman CYR" w:cs="Times New Roman CYR" w:hAnsi="Times New Roman CYR"/>
          <w:color w:val="000000"/>
        </w:rPr>
        <w:t xml:space="preserve"> </w:t>
      </w:r>
      <w:r>
        <w:rPr>
          <w:rFonts w:ascii="Times New Roman CYR" w:cs="Times New Roman CYR" w:hAnsi="Times New Roman CYR"/>
          <w:color w:val="000000"/>
        </w:rPr>
        <w:t>Предметом такого согласования являются предусмотренные данным проектом планировки территории границы зон планируемого размещения существ</w:t>
      </w:r>
      <w:r>
        <w:rPr>
          <w:rFonts w:ascii="Times New Roman CYR" w:cs="Times New Roman CYR" w:hAnsi="Times New Roman CYR"/>
          <w:color w:val="000000"/>
        </w:rPr>
        <w:t>у</w:t>
      </w:r>
      <w:r>
        <w:rPr>
          <w:rFonts w:ascii="Times New Roman CYR" w:cs="Times New Roman CYR" w:hAnsi="Times New Roman CYR"/>
          <w:color w:val="000000"/>
        </w:rPr>
        <w:t>ющих линейного объекта или линейных объектов, подлежащих реконструкции в связи с пл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нируемыми строительством, реконструкцией линейного объекта федерального значения, л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нейного объекта регионального значения, линейного объекта местного значения,</w:t>
      </w:r>
      <w:r>
        <w:t xml:space="preserve"> за исключ</w:t>
      </w:r>
      <w:r>
        <w:t>е</w:t>
      </w:r>
      <w:r>
        <w:t>нием случая, предусмотренного частью 12 настоящей статьи</w:t>
      </w:r>
      <w:r>
        <w:rPr>
          <w:rFonts w:ascii="Times New Roman CYR" w:cs="Times New Roman CYR" w:hAnsi="Times New Roman CYR"/>
          <w:color w:val="000000"/>
        </w:rPr>
        <w:t>.</w:t>
      </w:r>
      <w:r>
        <w:rPr>
          <w:rFonts w:ascii="Times New Roman CYR" w:cs="Times New Roman CYR" w:hAnsi="Times New Roman CYR"/>
          <w:color w:val="000000"/>
        </w:rPr>
        <w:t xml:space="preserve"> </w:t>
      </w:r>
      <w:r>
        <w:t xml:space="preserve"> </w:t>
      </w:r>
      <w:r>
        <w:t>Предметом такого согласования являются предусмотренные данным проектом планировки территории границы зон планиру</w:t>
      </w:r>
      <w:r>
        <w:t>е</w:t>
      </w:r>
      <w:r>
        <w:t>мого размещения существующих линейного объекта или линейных объектов, подлежащих р</w:t>
      </w:r>
      <w:r>
        <w:t>е</w:t>
      </w:r>
      <w:r>
        <w:t>конструкции в связи с планируемыми строительством, реконструкцией линейного объекта ф</w:t>
      </w:r>
      <w:r>
        <w:t>е</w:t>
      </w:r>
      <w:r>
        <w:t>дерального значения, линейного объекта регионального значения, линейного объекта местн</w:t>
      </w:r>
      <w:r>
        <w:t>о</w:t>
      </w:r>
      <w:r>
        <w:t>го значения.</w:t>
      </w:r>
      <w:r>
        <w:t xml:space="preserve"> </w:t>
      </w:r>
      <w:r>
        <w:rPr>
          <w:rFonts w:ascii="Times New Roman CYR" w:cs="Times New Roman CYR" w:hAnsi="Times New Roman CYR"/>
          <w:color w:val="000000"/>
        </w:rPr>
        <w:t xml:space="preserve"> Срок такого согласования проекта планировки территории не может превышать тридцать дней со дня его поступления в указанные орган государственной власти или орган местного самоуправления. В случае</w:t>
      </w:r>
      <w:r>
        <w:rPr>
          <w:rFonts w:ascii="Times New Roman CYR" w:cs="Times New Roman CYR" w:hAnsi="Times New Roman CYR"/>
          <w:color w:val="000000"/>
        </w:rPr>
        <w:t>,</w:t>
      </w:r>
      <w:r>
        <w:rPr>
          <w:rFonts w:ascii="Times New Roman CYR" w:cs="Times New Roman CYR" w:hAnsi="Times New Roman CYR"/>
          <w:color w:val="000000"/>
        </w:rPr>
        <w:t xml:space="preserve"> если по истечении этих тридцати дней указанными орг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нами не представлены в орган государственной власти или орган местного самоуправления, уполномоченные на утверждение проекта планировки территории в целях планируемых стр</w:t>
      </w:r>
      <w:r>
        <w:rPr>
          <w:rFonts w:ascii="Times New Roman CYR" w:cs="Times New Roman CYR" w:hAnsi="Times New Roman CYR"/>
          <w:color w:val="000000"/>
        </w:rPr>
        <w:t>о</w:t>
      </w:r>
      <w:r>
        <w:rPr>
          <w:rFonts w:ascii="Times New Roman CYR" w:cs="Times New Roman CYR" w:hAnsi="Times New Roman CYR"/>
          <w:color w:val="000000"/>
        </w:rPr>
        <w:t>ительства, реконструкции линейного объекта федерального значения, линейного объекта р</w:t>
      </w:r>
      <w:r>
        <w:rPr>
          <w:rFonts w:ascii="Times New Roman CYR" w:cs="Times New Roman CYR" w:hAnsi="Times New Roman CYR"/>
          <w:color w:val="000000"/>
        </w:rPr>
        <w:t>е</w:t>
      </w:r>
      <w:r>
        <w:rPr>
          <w:rFonts w:ascii="Times New Roman CYR" w:cs="Times New Roman CYR" w:hAnsi="Times New Roman CYR"/>
          <w:color w:val="000000"/>
        </w:rPr>
        <w:t>гионального значения, линейного объекта местного значения, возражения относительно да</w:t>
      </w:r>
      <w:r>
        <w:rPr>
          <w:rFonts w:ascii="Times New Roman CYR" w:cs="Times New Roman CYR" w:hAnsi="Times New Roman CYR"/>
          <w:color w:val="000000"/>
        </w:rPr>
        <w:t>н</w:t>
      </w:r>
      <w:r>
        <w:rPr>
          <w:rFonts w:ascii="Times New Roman CYR" w:cs="Times New Roman CYR" w:hAnsi="Times New Roman CYR"/>
          <w:color w:val="000000"/>
        </w:rPr>
        <w:t>ного проекта планировки территории, данный проект планировки территории считается согл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сованным.</w:t>
      </w:r>
    </w:p>
    <w:p w14:paraId="00000101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</w:rPr>
        <w:t>9</w:t>
      </w:r>
      <w:r>
        <w:rPr>
          <w:rFonts w:ascii="Times New Roman CYR" w:cs="Times New Roman CYR" w:hAnsi="Times New Roman CYR"/>
        </w:rPr>
        <w:t xml:space="preserve">. </w:t>
      </w:r>
      <w:r>
        <w:rPr>
          <w:color w:val="000000"/>
        </w:rPr>
        <w:t>Орган местного самоуправления поселения с учетом протокола общественных о</w:t>
      </w:r>
      <w:r>
        <w:rPr>
          <w:color w:val="000000"/>
        </w:rPr>
        <w:t>б</w:t>
      </w:r>
      <w:r>
        <w:rPr>
          <w:color w:val="000000"/>
        </w:rPr>
        <w:t>суждений или публичных слушаний по проекту планировки территории,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</w:t>
      </w:r>
      <w:r>
        <w:rPr>
          <w:color w:val="000000"/>
        </w:rPr>
        <w:t xml:space="preserve"> двадцать рабочих дней со дня опубликования заключения о результатах общественных обсуждений</w:t>
      </w:r>
      <w:r>
        <w:rPr>
          <w:color w:val="000000"/>
        </w:rPr>
        <w:t xml:space="preserve"> или публи</w:t>
      </w:r>
      <w:r>
        <w:rPr>
          <w:color w:val="000000"/>
        </w:rPr>
        <w:t>ч</w:t>
      </w:r>
      <w:r>
        <w:rPr>
          <w:color w:val="000000"/>
        </w:rPr>
        <w:t>ных слушаний, а в случае, если в соответствии с настоящей статьей общественные обсужд</w:t>
      </w:r>
      <w:r>
        <w:rPr>
          <w:color w:val="000000"/>
        </w:rPr>
        <w:t>е</w:t>
      </w:r>
      <w:r>
        <w:rPr>
          <w:color w:val="000000"/>
        </w:rPr>
        <w:t>ния или публичные слушания не проводятся, в срок, указанный в части 4.4 настоящей статьи.</w:t>
      </w:r>
    </w:p>
    <w:p w14:paraId="00000102">
      <w:pPr>
        <w:widowControl w:val="off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>9.1. Основанием для отклонения документации по планировке территории, подгото</w:t>
      </w:r>
      <w:r>
        <w:rPr>
          <w:rFonts w:ascii="Times New Roman CYR" w:cs="Times New Roman CYR" w:hAnsi="Times New Roman CYR"/>
        </w:rPr>
        <w:t>в</w:t>
      </w:r>
      <w:r>
        <w:rPr>
          <w:rFonts w:ascii="Times New Roman CYR" w:cs="Times New Roman CYR" w:hAnsi="Times New Roman CYR"/>
        </w:rPr>
        <w:t xml:space="preserve">ленной лицами, указанными в </w:t>
      </w:r>
      <w:r>
        <w:rPr>
          <w:rFonts w:ascii="Times New Roman CYR" w:cs="Times New Roman CYR" w:hAnsi="Times New Roman CYR"/>
          <w:color w:val="000000"/>
        </w:rPr>
        <w:t xml:space="preserve">части 1.1 </w:t>
      </w:r>
      <w:r>
        <w:rPr>
          <w:rFonts w:ascii="Times New Roman CYR" w:cs="Times New Roman CYR" w:hAnsi="Times New Roman CYR"/>
        </w:rPr>
        <w:t xml:space="preserve">настоящей </w:t>
      </w:r>
      <w:r>
        <w:rPr>
          <w:rFonts w:ascii="Times New Roman CYR" w:cs="Times New Roman CYR" w:hAnsi="Times New Roman CYR"/>
          <w:color w:val="000000"/>
        </w:rPr>
        <w:t>статьи</w:t>
      </w:r>
      <w:r>
        <w:rPr>
          <w:rFonts w:ascii="Times New Roman CYR" w:cs="Times New Roman CYR" w:hAnsi="Times New Roman CYR"/>
        </w:rPr>
        <w:t>, и направления ее на доработку я</w:t>
      </w:r>
      <w:r>
        <w:rPr>
          <w:rFonts w:ascii="Times New Roman CYR" w:cs="Times New Roman CYR" w:hAnsi="Times New Roman CYR"/>
        </w:rPr>
        <w:t>в</w:t>
      </w:r>
      <w:r>
        <w:rPr>
          <w:rFonts w:ascii="Times New Roman CYR" w:cs="Times New Roman CYR" w:hAnsi="Times New Roman CYR"/>
        </w:rPr>
        <w:t xml:space="preserve">ляется несоответствие такой документации требованиям, указанным в </w:t>
      </w:r>
      <w:r>
        <w:rPr>
          <w:rFonts w:ascii="Times New Roman CYR" w:cs="Times New Roman CYR" w:hAnsi="Times New Roman CYR"/>
          <w:color w:val="000000"/>
        </w:rPr>
        <w:t>части 4 настоящей</w:t>
      </w:r>
      <w:r>
        <w:rPr>
          <w:rFonts w:ascii="Times New Roman CYR" w:cs="Times New Roman CYR" w:hAnsi="Times New Roman CYR"/>
        </w:rPr>
        <w:t xml:space="preserve"> </w:t>
      </w:r>
      <w:r>
        <w:rPr>
          <w:rFonts w:ascii="Times New Roman CYR" w:cs="Times New Roman CYR" w:hAnsi="Times New Roman CYR"/>
          <w:color w:val="000000"/>
        </w:rPr>
        <w:t>ст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тьи</w:t>
      </w:r>
      <w:r>
        <w:rPr>
          <w:rFonts w:ascii="Times New Roman CYR" w:cs="Times New Roman CYR" w:hAnsi="Times New Roman CYR"/>
        </w:rPr>
        <w:t>. В иных случаях отклонение представленной такими лицами документации по планировке территории не допускается.</w:t>
      </w:r>
    </w:p>
    <w:p w14:paraId="00000103">
      <w:pPr>
        <w:widowControl w:val="off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>10.  </w:t>
      </w:r>
      <w:r>
        <w:rPr>
          <w:rFonts w:ascii="Times New Roman CYR" w:cs="Times New Roman CYR" w:hAnsi="Times New Roman CYR"/>
          <w:color w:val="000000"/>
        </w:rPr>
        <w:t>Утвержденная документация по планировке территории (проекты планировки те</w:t>
      </w:r>
      <w:r>
        <w:rPr>
          <w:rFonts w:ascii="Times New Roman CYR" w:cs="Times New Roman CYR" w:hAnsi="Times New Roman CYR"/>
          <w:color w:val="000000"/>
        </w:rPr>
        <w:t>р</w:t>
      </w:r>
      <w:r>
        <w:rPr>
          <w:rFonts w:ascii="Times New Roman CYR" w:cs="Times New Roman CYR" w:hAnsi="Times New Roman CYR"/>
          <w:color w:val="000000"/>
        </w:rPr>
        <w:t>ритории и проекты межевания территории) подлежит опубликованию в порядке, установле</w:t>
      </w:r>
      <w:r>
        <w:rPr>
          <w:rFonts w:ascii="Times New Roman CYR" w:cs="Times New Roman CYR" w:hAnsi="Times New Roman CYR"/>
          <w:color w:val="000000"/>
        </w:rPr>
        <w:t>н</w:t>
      </w:r>
      <w:r>
        <w:rPr>
          <w:rFonts w:ascii="Times New Roman CYR" w:cs="Times New Roman CYR" w:hAnsi="Times New Roman CYR"/>
          <w:color w:val="000000"/>
        </w:rPr>
        <w:t>ном для официального опубликования муниципальных правовых актов, иной официальной информации, в течение семи дней со дня утверждения указанной документации и размещается на официальном сайте муниципального образования (при наличии официального сайта мун</w:t>
      </w:r>
      <w:r>
        <w:rPr>
          <w:rFonts w:ascii="Times New Roman CYR" w:cs="Times New Roman CYR" w:hAnsi="Times New Roman CYR"/>
          <w:color w:val="000000"/>
        </w:rPr>
        <w:t>и</w:t>
      </w:r>
      <w:r>
        <w:rPr>
          <w:rFonts w:ascii="Times New Roman CYR" w:cs="Times New Roman CYR" w:hAnsi="Times New Roman CYR"/>
          <w:color w:val="000000"/>
        </w:rPr>
        <w:t>ципального образования) в сети "Интернет".</w:t>
      </w:r>
    </w:p>
    <w:p w14:paraId="00000104">
      <w:pPr>
        <w:widowControl w:val="off"/>
        <w:rPr>
          <w:rFonts w:ascii="Times New Roman CYR" w:cs="Times New Roman CYR" w:hAnsi="Times New Roman CYR"/>
          <w:color w:val="000000"/>
        </w:rPr>
      </w:pPr>
      <w:r>
        <w:rPr>
          <w:rFonts w:ascii="Times New Roman CYR" w:cs="Times New Roman CYR" w:hAnsi="Times New Roman CYR"/>
          <w:color w:val="000000"/>
        </w:rPr>
        <w:t>11. В случае внесения изменений в проекты планировки территории и проекты межев</w:t>
      </w:r>
      <w:r>
        <w:rPr>
          <w:rFonts w:ascii="Times New Roman CYR" w:cs="Times New Roman CYR" w:hAnsi="Times New Roman CYR"/>
          <w:color w:val="000000"/>
        </w:rPr>
        <w:t>а</w:t>
      </w:r>
      <w:r>
        <w:rPr>
          <w:rFonts w:ascii="Times New Roman CYR" w:cs="Times New Roman CYR" w:hAnsi="Times New Roman CYR"/>
          <w:color w:val="000000"/>
        </w:rPr>
        <w:t>ния территории, решение об утверждении которых принимается органами местного сам</w:t>
      </w:r>
      <w:r>
        <w:rPr>
          <w:rFonts w:ascii="Times New Roman CYR" w:cs="Times New Roman CYR" w:hAnsi="Times New Roman CYR"/>
          <w:color w:val="000000"/>
        </w:rPr>
        <w:t>о</w:t>
      </w:r>
      <w:r>
        <w:rPr>
          <w:rFonts w:ascii="Times New Roman CYR" w:cs="Times New Roman CYR" w:hAnsi="Times New Roman CYR"/>
          <w:color w:val="000000"/>
        </w:rPr>
        <w:t>управления поселения, путем утверждения</w:t>
      </w:r>
      <w:r>
        <w:rPr>
          <w:rFonts w:ascii="Times New Roman CYR" w:cs="Times New Roman CYR" w:hAnsi="Times New Roman CYR"/>
          <w:color w:val="000000"/>
        </w:rPr>
        <w:t xml:space="preserve"> их отдельных частей общественные обсуждения или публичные слушания проводятся применительно к таким утверждаемым частям.</w:t>
      </w:r>
    </w:p>
    <w:p w14:paraId="00000105">
      <w:pPr>
        <w:widowControl w:val="off"/>
        <w:rPr/>
      </w:pPr>
      <w:r>
        <w:rPr>
          <w:rFonts w:ascii="Times New Roman CYR" w:cs="Times New Roman CYR" w:hAnsi="Times New Roman CYR"/>
          <w:color w:val="000000"/>
        </w:rPr>
        <w:t xml:space="preserve">12. </w:t>
      </w:r>
      <w:r>
        <w:t>В случае внесения изменений в проект планировки территории, предусматрива</w:t>
      </w:r>
      <w:r>
        <w:t>ю</w:t>
      </w:r>
      <w:r>
        <w:t>щий строительство, реконструкцию линейного объекта, в части изменения, связанного с ув</w:t>
      </w:r>
      <w:r>
        <w:t>е</w:t>
      </w:r>
      <w:r>
        <w:t>личением или уменьшением не более чем на десять процентов площади зоны планируемого размещения линейного объекта и (или) иного объекта капитального строительства, входящего в состав линейного объекта, в связи с необходимостью уточнения границ зон планируемого размещения указанных объектов, не требуется направление изменений на</w:t>
      </w:r>
      <w:r>
        <w:t xml:space="preserve"> </w:t>
      </w:r>
      <w:r>
        <w:t>согласование в с</w:t>
      </w:r>
      <w:r>
        <w:t>о</w:t>
      </w:r>
      <w:r>
        <w:t>ответствии с частью 14 и 8  настоящей статьи при условии, что внесение изменений не повл</w:t>
      </w:r>
      <w:r>
        <w:t>и</w:t>
      </w:r>
      <w:r>
        <w:t>яет на предусмотренные проектом планировки территории планировочные решения, а также на согласование в соответствии с  частью 13 настоящей статьи при условии, что внесение и</w:t>
      </w:r>
      <w:r>
        <w:t>з</w:t>
      </w:r>
      <w:r>
        <w:t>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(или) расположенных</w:t>
      </w:r>
      <w:r>
        <w:t xml:space="preserve"> на них объектов недвижимого имущества для государственных или муниципальных нужд.</w:t>
      </w:r>
    </w:p>
    <w:p w14:paraId="00000106">
      <w:pPr>
        <w:widowControl w:val="off"/>
        <w:rPr/>
      </w:pPr>
      <w:r>
        <w:t xml:space="preserve">13. </w:t>
      </w:r>
      <w:r>
        <w:t>Проект планировки территории, предусматривающий размещение объектов фед</w:t>
      </w:r>
      <w:r>
        <w:t>е</w:t>
      </w:r>
      <w:r>
        <w:t>рального значения, объектов регионального значения или объектов местного значения, для размещения которых допускается изъятие земельных участков для государственных или м</w:t>
      </w:r>
      <w:r>
        <w:t>у</w:t>
      </w:r>
      <w:r>
        <w:t>ниципальных нужд, до его утверждения подлежит согласованию с органом государственной власти или органом местного самоуправления, уполномоченными на принятие решений об изъятии земельных участков для государственных или муниципальных нужд, за исключением случая, предусмотренного часть 12 настоящей</w:t>
      </w:r>
      <w:r>
        <w:t xml:space="preserve"> статьи. </w:t>
      </w:r>
      <w:r>
        <w:t>Предметом согласования проекта пл</w:t>
      </w:r>
      <w:r>
        <w:t>а</w:t>
      </w:r>
      <w:r>
        <w:t>нировки территории с указанными органом государственной власти или органом местного с</w:t>
      </w:r>
      <w:r>
        <w:t>а</w:t>
      </w:r>
      <w:r>
        <w:t>моуправления являются предусмотренные данным проектом планировки территории границы зон планируемого размещения объектов федерального значения, объектов регионального зн</w:t>
      </w:r>
      <w:r>
        <w:t>а</w:t>
      </w:r>
      <w:r>
        <w:t>чения или объектов местного значения.</w:t>
      </w:r>
    </w:p>
    <w:p w14:paraId="00000107">
      <w:pPr>
        <w:widowControl w:val="off"/>
        <w:rPr/>
      </w:pPr>
      <w:r>
        <w:t xml:space="preserve">14. </w:t>
      </w:r>
      <w:r>
        <w:t>Документация по планировке территории, которая подготовлена в целях размещ</w:t>
      </w:r>
      <w:r>
        <w:t>е</w:t>
      </w:r>
      <w:r>
        <w:t>ния объекта федерального значения, объекта регионального значения, объекта местного зн</w:t>
      </w:r>
      <w:r>
        <w:t>а</w:t>
      </w:r>
      <w:r>
        <w:t>чения муниципального района или в целях размещения иного объекта в границах поселения, городского округа и утверждение которой осуществляется уполномоченным федеральным о</w:t>
      </w:r>
      <w:r>
        <w:t>р</w:t>
      </w:r>
      <w:r>
        <w:t>ганом исполнительной власти, уполномоченным органом исполнительной власти субъекта Российской Федерации, уполномоченным органом местного самоуправления муниципального района, до ее утверждения подлежит согласованию с главой</w:t>
      </w:r>
      <w:r>
        <w:t xml:space="preserve"> такого поселения, главой такого городского округа, за исключением случая, предусмотренного частью 12 настоящей статьи. </w:t>
      </w:r>
      <w:r>
        <w:t>Предметом согласования является соответствие планируемого размещения указанных объе</w:t>
      </w:r>
      <w:r>
        <w:t>к</w:t>
      </w:r>
      <w:r>
        <w:t>тов правилам землепользования и застройки в части соблюдения градостроительных регл</w:t>
      </w:r>
      <w:r>
        <w:t>а</w:t>
      </w:r>
      <w:r>
        <w:t>ментов (за исключением линейных объектов), установленных для территориальных зон, в гр</w:t>
      </w:r>
      <w:r>
        <w:t>а</w:t>
      </w:r>
      <w:r>
        <w:t>ницах которых планируется размещение указанных объектов, а также обеспечение сохранения фактических показателей обеспеченности территории объектами коммунальной, транспор</w:t>
      </w:r>
      <w:r>
        <w:t>т</w:t>
      </w:r>
      <w:r>
        <w:t>ной, социальной инфраструктур и фактических показателей территориальной доступности указанных объектов для населения.</w:t>
      </w:r>
    </w:p>
    <w:p w14:paraId="00000108">
      <w:pPr>
        <w:pStyle w:val="Heading2"/>
        <w:spacing w:before="240"/>
        <w:rPr/>
      </w:pPr>
      <w:bookmarkStart w:id="117" w:name="_Toc180470355"/>
      <w:bookmarkStart w:id="118" w:name="_Toc200537109"/>
      <w:bookmarkStart w:id="119" w:name="_Toc208205280"/>
      <w:bookmarkStart w:id="120" w:name="_Toc427840790"/>
      <w:bookmarkStart w:id="121" w:name="_Toc427840972"/>
      <w:bookmarkStart w:id="122" w:name="_Toc465786393"/>
      <w:bookmarkStart w:id="123" w:name="_Toc89422068"/>
      <w:bookmarkStart w:id="124" w:name="_Toc159317552"/>
      <w:r>
        <w:rPr>
          <w:rFonts w:eastAsia="GOST Type AU"/>
          <w:lang w:eastAsia="ar-SA"/>
        </w:rPr>
        <w:t xml:space="preserve">Глава 5. </w:t>
      </w:r>
      <w:bookmarkEnd w:id="117"/>
      <w:bookmarkEnd w:id="118"/>
      <w:bookmarkEnd w:id="119"/>
      <w:bookmarkEnd w:id="120"/>
      <w:bookmarkEnd w:id="121"/>
      <w:bookmarkEnd w:id="122"/>
      <w:r>
        <w:rPr>
          <w:rFonts w:eastAsia="GOST Type AU"/>
          <w:lang w:eastAsia="ar-SA"/>
        </w:rPr>
        <w:t>Положения о проведении общественных обсуждений или публи</w:t>
      </w:r>
      <w:r>
        <w:rPr>
          <w:rFonts w:eastAsia="GOST Type AU"/>
          <w:lang w:eastAsia="ar-SA"/>
        </w:rPr>
        <w:t>ч</w:t>
      </w:r>
      <w:r>
        <w:rPr>
          <w:rFonts w:eastAsia="GOST Type AU"/>
          <w:lang w:eastAsia="ar-SA"/>
        </w:rPr>
        <w:t>ных слушаний по вопросам землепользования и застройки</w:t>
      </w:r>
      <w:bookmarkEnd w:id="123"/>
      <w:bookmarkEnd w:id="124"/>
    </w:p>
    <w:p w14:paraId="00000109">
      <w:pPr>
        <w:pStyle w:val="Heading3"/>
        <w:rPr/>
      </w:pPr>
      <w:bookmarkStart w:id="125" w:name="_Toc200537084"/>
      <w:bookmarkStart w:id="126" w:name="_Toc208205271"/>
      <w:bookmarkStart w:id="127" w:name="_Toc427840781"/>
      <w:bookmarkStart w:id="128" w:name="_Toc427840963"/>
      <w:bookmarkStart w:id="129" w:name="_Toc465786392"/>
      <w:bookmarkStart w:id="130" w:name="_Toc89422069"/>
      <w:bookmarkStart w:id="131" w:name="_Toc159317553"/>
      <w:r>
        <w:t xml:space="preserve">Статья 15. </w:t>
      </w:r>
      <w:bookmarkEnd w:id="125"/>
      <w:bookmarkEnd w:id="126"/>
      <w:bookmarkEnd w:id="127"/>
      <w:bookmarkEnd w:id="128"/>
      <w:bookmarkEnd w:id="129"/>
      <w:r>
        <w:t>Общественные обсуждения, публичные слушания по проектам пр</w:t>
      </w:r>
      <w:r>
        <w:t>а</w:t>
      </w:r>
      <w:r>
        <w:t>вил землепользования и застройки,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</w:t>
      </w:r>
      <w:r>
        <w:t>е</w:t>
      </w:r>
      <w:r>
        <w:t>дельных параметров разрешенного строительства, реконструкции объектов капитал</w:t>
      </w:r>
      <w:r>
        <w:t>ь</w:t>
      </w:r>
      <w:r>
        <w:t>ного строительства</w:t>
      </w:r>
      <w:bookmarkEnd w:id="130"/>
      <w:bookmarkEnd w:id="131"/>
    </w:p>
    <w:p w14:paraId="0000010A">
      <w:pPr>
        <w:widowControl w:val="off"/>
        <w:ind w:firstLine="720"/>
        <w:rPr>
          <w:rFonts w:ascii="Times New Roman CYR" w:cs="Times New Roman CYR" w:hAnsi="Times New Roman CYR"/>
        </w:rPr>
      </w:pPr>
      <w:bookmarkEnd w:id="74"/>
      <w:bookmarkStart w:id="132" w:name="sub_50101"/>
      <w:r>
        <w:rPr>
          <w:rFonts w:ascii="Times New Roman CYR" w:cs="Times New Roman CYR" w:hAnsi="Times New Roman CYR"/>
        </w:rPr>
        <w:t xml:space="preserve">1. </w:t>
      </w:r>
      <w:r>
        <w:rPr>
          <w:rFonts w:ascii="Times New Roman CYR" w:cs="Times New Roman CYR" w:hAnsi="Times New Roman CYR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правил землепользования и застройки, проектам, предусматрив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ющим внесение изменений в правила землепользования и застройки,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</w:t>
      </w:r>
      <w:r>
        <w:rPr>
          <w:rFonts w:ascii="Times New Roman CYR" w:cs="Times New Roman CYR" w:hAnsi="Times New Roman CYR"/>
        </w:rPr>
        <w:t xml:space="preserve"> </w:t>
      </w:r>
      <w:r>
        <w:rPr>
          <w:rFonts w:ascii="Times New Roman CYR" w:cs="Times New Roman CYR" w:hAnsi="Times New Roman CYR"/>
        </w:rPr>
        <w:t>параметров разрешенного строительства, реконструкции объектов капитального строительства (далее также в настоящей статье - проекты) в соответствии с уставом муниципального образования и (или) нормативным правовым актом представител</w:t>
      </w:r>
      <w:r>
        <w:rPr>
          <w:rFonts w:ascii="Times New Roman CYR" w:cs="Times New Roman CYR" w:hAnsi="Times New Roman CYR"/>
        </w:rPr>
        <w:t>ь</w:t>
      </w:r>
      <w:r>
        <w:rPr>
          <w:rFonts w:ascii="Times New Roman CYR" w:cs="Times New Roman CYR" w:hAnsi="Times New Roman CYR"/>
        </w:rPr>
        <w:t>ного органа муниципального образования и с учетом положений настоящих Правил проводя</w:t>
      </w:r>
      <w:r>
        <w:rPr>
          <w:rFonts w:ascii="Times New Roman CYR" w:cs="Times New Roman CYR" w:hAnsi="Times New Roman CYR"/>
        </w:rPr>
        <w:t>т</w:t>
      </w:r>
      <w:r>
        <w:rPr>
          <w:rFonts w:ascii="Times New Roman CYR" w:cs="Times New Roman CYR" w:hAnsi="Times New Roman CYR"/>
        </w:rPr>
        <w:t>ся общественные обсуждения или публичные слушания и (или) общественные обсуждения, за исключением случаев, предусмотренных градостроительным  кодексом  РФ и другими фед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ральными законами.</w:t>
      </w:r>
    </w:p>
    <w:p w14:paraId="0000010B">
      <w:pPr>
        <w:widowControl w:val="off"/>
        <w:ind w:firstLine="720"/>
        <w:rPr>
          <w:rFonts w:ascii="Times New Roman CYR" w:cs="Times New Roman CYR" w:hAnsi="Times New Roman CYR"/>
        </w:rPr>
      </w:pPr>
      <w:bookmarkEnd w:id="132"/>
      <w:bookmarkStart w:id="133" w:name="sub_50102"/>
      <w:r>
        <w:rPr>
          <w:rFonts w:ascii="Times New Roman CYR" w:cs="Times New Roman CYR" w:hAnsi="Times New Roman CYR"/>
        </w:rPr>
        <w:t xml:space="preserve">2. </w:t>
      </w:r>
      <w:r>
        <w:rPr>
          <w:rFonts w:ascii="Times New Roman CYR" w:cs="Times New Roman CYR" w:hAnsi="Times New Roman CYR"/>
        </w:rPr>
        <w:t>Участниками общественных обсуждений или публичных слушаний по проектам пр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вил землепользования и застройки, проектам, предусматривающим внесение изменений в пр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вила землепользования и застройки, являются граждане, постоянно проживающие на террит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тального строительства, а также правообладатели помещений, являющихся частью указанных объектов капитального строительства.</w:t>
      </w:r>
    </w:p>
    <w:p w14:paraId="0000010C">
      <w:pPr>
        <w:widowControl w:val="off"/>
        <w:ind w:firstLine="720"/>
        <w:rPr>
          <w:rFonts w:ascii="Times New Roman CYR" w:cs="Times New Roman CYR" w:hAnsi="Times New Roman CYR"/>
        </w:rPr>
      </w:pPr>
      <w:bookmarkEnd w:id="133"/>
      <w:bookmarkStart w:id="134" w:name="sub_50103"/>
      <w:r>
        <w:rPr>
          <w:rFonts w:ascii="Times New Roman CYR" w:cs="Times New Roman CYR" w:hAnsi="Times New Roman CYR"/>
        </w:rPr>
        <w:t xml:space="preserve">3. </w:t>
      </w:r>
      <w:r>
        <w:rPr>
          <w:rFonts w:ascii="Times New Roman CYR" w:cs="Times New Roman CYR" w:hAnsi="Times New Roman CYR"/>
        </w:rPr>
        <w:t>Участниками общественных обсуждений или публичных слушаний по проектам р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лах территориальной зоны, в границах которой расположен земельный участок или объект к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питального строительства, в отношении которых</w:t>
      </w:r>
      <w:r>
        <w:rPr>
          <w:rFonts w:ascii="Times New Roman CYR" w:cs="Times New Roman CYR" w:hAnsi="Times New Roman CYR"/>
        </w:rPr>
        <w:t xml:space="preserve"> </w:t>
      </w:r>
      <w:r>
        <w:rPr>
          <w:rFonts w:ascii="Times New Roman CYR" w:cs="Times New Roman CYR" w:hAnsi="Times New Roman CYR"/>
        </w:rPr>
        <w:t>подготовлены данные проекты, правообл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датели находящихся в границах этой территориальной зоны земельных участков и (или) ра</w:t>
      </w:r>
      <w:r>
        <w:rPr>
          <w:rFonts w:ascii="Times New Roman CYR" w:cs="Times New Roman CYR" w:hAnsi="Times New Roman CYR"/>
        </w:rPr>
        <w:t>с</w:t>
      </w:r>
      <w:r>
        <w:rPr>
          <w:rFonts w:ascii="Times New Roman CYR" w:cs="Times New Roman CYR" w:hAnsi="Times New Roman CYR"/>
        </w:rPr>
        <w:t>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>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</w:t>
      </w:r>
      <w:r>
        <w:rPr>
          <w:rFonts w:ascii="Times New Roman CYR" w:cs="Times New Roman CYR" w:hAnsi="Times New Roman CYR"/>
        </w:rPr>
        <w:t xml:space="preserve"> проекты, а в случае, предусмотренном главой 3 настоящих Правил, также правообладатели земельных участков и объектов капитального строительства, подверженных риску негативн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го воздействия на окружающую среду в результате реализации данных проектов.</w:t>
      </w:r>
    </w:p>
    <w:p w14:paraId="0000010D">
      <w:pPr>
        <w:widowControl w:val="off"/>
        <w:ind w:firstLine="720"/>
        <w:rPr>
          <w:rFonts w:ascii="Times New Roman CYR" w:cs="Times New Roman CYR" w:hAnsi="Times New Roman CYR"/>
        </w:rPr>
      </w:pPr>
      <w:bookmarkEnd w:id="134"/>
      <w:bookmarkStart w:id="135" w:name="sub_50104"/>
      <w:r>
        <w:t>4.</w:t>
      </w:r>
      <w:r>
        <w:rPr>
          <w:rFonts w:ascii="Times New Roman CYR" w:cs="Times New Roman CYR" w:hAnsi="Times New Roman CYR"/>
        </w:rPr>
        <w:t xml:space="preserve"> Процедура проведения общественных обсуждений состоит из следующих этапов:</w:t>
      </w:r>
    </w:p>
    <w:p w14:paraId="0000010E">
      <w:pPr>
        <w:widowControl w:val="off"/>
        <w:ind w:firstLine="720"/>
        <w:rPr>
          <w:rFonts w:ascii="Times New Roman CYR" w:cs="Times New Roman CYR" w:hAnsi="Times New Roman CYR"/>
        </w:rPr>
      </w:pPr>
      <w:bookmarkEnd w:id="135"/>
      <w:bookmarkStart w:id="136" w:name="sub_501041"/>
      <w:r>
        <w:rPr>
          <w:rFonts w:ascii="Times New Roman CYR" w:cs="Times New Roman CYR" w:hAnsi="Times New Roman CYR"/>
        </w:rPr>
        <w:t>1) оповещение о начале общественных обсуждений;</w:t>
      </w:r>
    </w:p>
    <w:p w14:paraId="0000010F">
      <w:pPr>
        <w:widowControl w:val="off"/>
        <w:ind w:firstLine="720"/>
        <w:rPr>
          <w:rFonts w:ascii="Times New Roman CYR" w:cs="Times New Roman CYR" w:hAnsi="Times New Roman CYR"/>
        </w:rPr>
      </w:pPr>
      <w:bookmarkEnd w:id="136"/>
      <w:bookmarkStart w:id="137" w:name="sub_501042"/>
      <w:r>
        <w:rPr>
          <w:rFonts w:ascii="Times New Roman CYR" w:cs="Times New Roman CYR" w:hAnsi="Times New Roman CYR"/>
        </w:rPr>
        <w:t>2) размещение проекта, подлежащего рассмотрению на общественных обсуждениях, и информационных материалов к нему на официальном сайте уполномоченного органа местн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го самоуправления в информационно-телекоммуникационной сети "Интернет" (далее в наст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ящей статье - официальный сайт) и (или) в государственной или муниципальной информац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онной системе, обеспечивающей проведение общественных обсуждений с использованием информационно-телекоммуникационной сети "Интернет" (далее также - сеть "Интернет"), л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бо на региональном портале государственных и муниципальных услуг (далее</w:t>
      </w:r>
      <w:r>
        <w:rPr>
          <w:rFonts w:ascii="Times New Roman CYR" w:cs="Times New Roman CYR" w:hAnsi="Times New Roman CYR"/>
        </w:rPr>
        <w:t xml:space="preserve"> в настоящей ст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тье - информационные системы) и открытие экспозиции или экспозиций такого проекта;</w:t>
      </w:r>
    </w:p>
    <w:p w14:paraId="00000110">
      <w:pPr>
        <w:widowControl w:val="off"/>
        <w:ind w:firstLine="720"/>
        <w:rPr>
          <w:rFonts w:ascii="Times New Roman CYR" w:cs="Times New Roman CYR" w:hAnsi="Times New Roman CYR"/>
        </w:rPr>
      </w:pPr>
      <w:bookmarkEnd w:id="137"/>
      <w:bookmarkStart w:id="138" w:name="sub_501043"/>
      <w:r>
        <w:rPr>
          <w:rFonts w:ascii="Times New Roman CYR" w:cs="Times New Roman CYR" w:hAnsi="Times New Roman CYR"/>
        </w:rPr>
        <w:t>3) проведение экспозиции или экспозиций проекта, подлежащего рассмотрению на о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щественных обсуждениях;</w:t>
      </w:r>
    </w:p>
    <w:p w14:paraId="00000111">
      <w:pPr>
        <w:widowControl w:val="off"/>
        <w:ind w:firstLine="720"/>
        <w:rPr>
          <w:rFonts w:ascii="Times New Roman CYR" w:cs="Times New Roman CYR" w:hAnsi="Times New Roman CYR"/>
        </w:rPr>
      </w:pPr>
      <w:bookmarkEnd w:id="138"/>
      <w:bookmarkStart w:id="139" w:name="sub_501044"/>
      <w:r>
        <w:rPr>
          <w:rFonts w:ascii="Times New Roman CYR" w:cs="Times New Roman CYR" w:hAnsi="Times New Roman CYR"/>
        </w:rPr>
        <w:t>4) подготовка и оформление протокола общественных обсуждений;</w:t>
      </w:r>
    </w:p>
    <w:p w14:paraId="00000112">
      <w:pPr>
        <w:widowControl w:val="off"/>
        <w:ind w:firstLine="720"/>
        <w:rPr>
          <w:rFonts w:ascii="Times New Roman CYR" w:cs="Times New Roman CYR" w:hAnsi="Times New Roman CYR"/>
        </w:rPr>
      </w:pPr>
      <w:bookmarkEnd w:id="139"/>
      <w:bookmarkStart w:id="140" w:name="sub_501045"/>
      <w:r>
        <w:rPr>
          <w:rFonts w:ascii="Times New Roman CYR" w:cs="Times New Roman CYR" w:hAnsi="Times New Roman CYR"/>
        </w:rPr>
        <w:t>5) подготовка и опубликование заключения о результатах общественных обсуждений.</w:t>
      </w:r>
    </w:p>
    <w:p w14:paraId="00000113">
      <w:pPr>
        <w:widowControl w:val="off"/>
        <w:ind w:firstLine="720"/>
        <w:rPr>
          <w:rFonts w:ascii="Times New Roman CYR" w:cs="Times New Roman CYR" w:hAnsi="Times New Roman CYR"/>
        </w:rPr>
      </w:pPr>
      <w:bookmarkEnd w:id="140"/>
      <w:bookmarkStart w:id="141" w:name="sub_50105"/>
      <w:r>
        <w:rPr>
          <w:rFonts w:ascii="Times New Roman CYR" w:cs="Times New Roman CYR" w:hAnsi="Times New Roman CYR"/>
        </w:rPr>
        <w:t>5. Процедура проведения публичных слушаний состоит из следующих этапов:</w:t>
      </w:r>
    </w:p>
    <w:p w14:paraId="00000114">
      <w:pPr>
        <w:widowControl w:val="off"/>
        <w:ind w:firstLine="720"/>
        <w:rPr>
          <w:rFonts w:ascii="Times New Roman CYR" w:cs="Times New Roman CYR" w:hAnsi="Times New Roman CYR"/>
        </w:rPr>
      </w:pPr>
      <w:bookmarkEnd w:id="141"/>
      <w:bookmarkStart w:id="142" w:name="sub_501051"/>
      <w:r>
        <w:rPr>
          <w:rFonts w:ascii="Times New Roman CYR" w:cs="Times New Roman CYR" w:hAnsi="Times New Roman CYR"/>
        </w:rPr>
        <w:t>1) оповещение о начале публичных слушаний;</w:t>
      </w:r>
    </w:p>
    <w:p w14:paraId="00000115">
      <w:pPr>
        <w:widowControl w:val="off"/>
        <w:ind w:firstLine="720"/>
        <w:rPr>
          <w:rFonts w:ascii="Times New Roman CYR" w:cs="Times New Roman CYR" w:hAnsi="Times New Roman CYR"/>
        </w:rPr>
      </w:pPr>
      <w:bookmarkEnd w:id="142"/>
      <w:bookmarkStart w:id="143" w:name="sub_501052"/>
      <w:r>
        <w:rPr>
          <w:rFonts w:ascii="Times New Roman CYR" w:cs="Times New Roman CYR" w:hAnsi="Times New Roman CYR"/>
        </w:rPr>
        <w:t>2) размещение проекта, подлежащего рассмотрению на публичных слушаниях, и и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>формационных материалов к нему на официальном сайте и открытие экспозиции или эксп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зиций такого проекта;</w:t>
      </w:r>
    </w:p>
    <w:p w14:paraId="00000116">
      <w:pPr>
        <w:widowControl w:val="off"/>
        <w:ind w:firstLine="720"/>
        <w:rPr>
          <w:rFonts w:ascii="Times New Roman CYR" w:cs="Times New Roman CYR" w:hAnsi="Times New Roman CYR"/>
        </w:rPr>
      </w:pPr>
      <w:bookmarkEnd w:id="143"/>
      <w:bookmarkStart w:id="144" w:name="sub_501053"/>
      <w:r>
        <w:rPr>
          <w:rFonts w:ascii="Times New Roman CYR" w:cs="Times New Roman CYR" w:hAnsi="Times New Roman CYR"/>
        </w:rPr>
        <w:t>3) проведение экспозиции или экспозиций проекта, подлежащего рассмотрению на публичных слушаниях;</w:t>
      </w:r>
    </w:p>
    <w:p w14:paraId="00000117">
      <w:pPr>
        <w:widowControl w:val="off"/>
        <w:ind w:firstLine="720"/>
        <w:rPr>
          <w:rFonts w:ascii="Times New Roman CYR" w:cs="Times New Roman CYR" w:hAnsi="Times New Roman CYR"/>
        </w:rPr>
      </w:pPr>
      <w:bookmarkEnd w:id="144"/>
      <w:bookmarkStart w:id="145" w:name="sub_501054"/>
      <w:r>
        <w:rPr>
          <w:rFonts w:ascii="Times New Roman CYR" w:cs="Times New Roman CYR" w:hAnsi="Times New Roman CYR"/>
        </w:rPr>
        <w:t>4) проведение собрания или собраний участников публичных слушаний;</w:t>
      </w:r>
    </w:p>
    <w:p w14:paraId="00000118">
      <w:pPr>
        <w:widowControl w:val="off"/>
        <w:ind w:firstLine="720"/>
        <w:rPr>
          <w:rFonts w:ascii="Times New Roman CYR" w:cs="Times New Roman CYR" w:hAnsi="Times New Roman CYR"/>
        </w:rPr>
      </w:pPr>
      <w:bookmarkEnd w:id="145"/>
      <w:bookmarkStart w:id="146" w:name="sub_501055"/>
      <w:r>
        <w:rPr>
          <w:rFonts w:ascii="Times New Roman CYR" w:cs="Times New Roman CYR" w:hAnsi="Times New Roman CYR"/>
        </w:rPr>
        <w:t>5) подготовка и оформление протокола публичных слушаний;</w:t>
      </w:r>
    </w:p>
    <w:p w14:paraId="00000119">
      <w:pPr>
        <w:widowControl w:val="off"/>
        <w:ind w:firstLine="720"/>
        <w:rPr>
          <w:rFonts w:ascii="Times New Roman CYR" w:cs="Times New Roman CYR" w:hAnsi="Times New Roman CYR"/>
        </w:rPr>
      </w:pPr>
      <w:bookmarkEnd w:id="146"/>
      <w:bookmarkStart w:id="147" w:name="sub_501056"/>
      <w:r>
        <w:rPr>
          <w:rFonts w:ascii="Times New Roman CYR" w:cs="Times New Roman CYR" w:hAnsi="Times New Roman CYR"/>
        </w:rPr>
        <w:t>6) подготовка и опубликование заключения о результатах публичных слушаний.</w:t>
      </w:r>
    </w:p>
    <w:p w14:paraId="0000011A">
      <w:pPr>
        <w:widowControl w:val="off"/>
        <w:ind w:firstLine="720"/>
        <w:rPr>
          <w:rFonts w:ascii="Times New Roman CYR" w:cs="Times New Roman CYR" w:hAnsi="Times New Roman CYR"/>
        </w:rPr>
      </w:pPr>
      <w:bookmarkEnd w:id="147"/>
      <w:bookmarkStart w:id="148" w:name="sub_50106"/>
      <w:r>
        <w:rPr>
          <w:rFonts w:ascii="Times New Roman CYR" w:cs="Times New Roman CYR" w:hAnsi="Times New Roman CYR"/>
        </w:rPr>
        <w:t>6. Оповещение о начале общественных обсуждений или публичных слушаний должно содержать:</w:t>
      </w:r>
    </w:p>
    <w:p w14:paraId="0000011B">
      <w:pPr>
        <w:widowControl w:val="off"/>
        <w:ind w:firstLine="720"/>
        <w:rPr>
          <w:rFonts w:ascii="Times New Roman CYR" w:cs="Times New Roman CYR" w:hAnsi="Times New Roman CYR"/>
        </w:rPr>
      </w:pPr>
      <w:bookmarkEnd w:id="148"/>
      <w:bookmarkStart w:id="149" w:name="sub_501061"/>
      <w:r>
        <w:rPr>
          <w:rFonts w:ascii="Times New Roman CYR" w:cs="Times New Roman CYR" w:hAnsi="Times New Roman CYR"/>
        </w:rPr>
        <w:t>1) информацию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14:paraId="0000011C">
      <w:pPr>
        <w:widowControl w:val="off"/>
        <w:ind w:firstLine="720"/>
        <w:rPr>
          <w:rFonts w:ascii="Times New Roman CYR" w:cs="Times New Roman CYR" w:hAnsi="Times New Roman CYR"/>
        </w:rPr>
      </w:pPr>
      <w:bookmarkEnd w:id="149"/>
      <w:bookmarkStart w:id="150" w:name="sub_501062"/>
      <w:r>
        <w:rPr>
          <w:rFonts w:ascii="Times New Roman CYR" w:cs="Times New Roman CYR" w:hAnsi="Times New Roman CYR"/>
        </w:rPr>
        <w:t>2) информацию о порядке и сроках проведения общественных обсуждений или пу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личных слушаний по проекту, подлежащему рассмотрению на общественных обсуждениях или публичных слушаниях;</w:t>
      </w:r>
    </w:p>
    <w:p w14:paraId="0000011D">
      <w:pPr>
        <w:widowControl w:val="off"/>
        <w:ind w:firstLine="720"/>
        <w:rPr>
          <w:rFonts w:ascii="Times New Roman CYR" w:cs="Times New Roman CYR" w:hAnsi="Times New Roman CYR"/>
        </w:rPr>
      </w:pPr>
      <w:bookmarkEnd w:id="150"/>
      <w:bookmarkStart w:id="151" w:name="sub_501063"/>
      <w:r>
        <w:rPr>
          <w:rFonts w:ascii="Times New Roman CYR" w:cs="Times New Roman CYR" w:hAnsi="Times New Roman CYR"/>
        </w:rPr>
        <w:t>3) информацию о месте, дате открытия экспозиции или экспозиций проекта, подлеж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щего рассмотрению на общественных обсуждениях или публичных слушаниях, о сроках пр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ведения экспозиции или экспозиций такого проекта, о днях и часах, в которые возможно п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сещение указанных экспозиции или экспозиций;</w:t>
      </w:r>
    </w:p>
    <w:p w14:paraId="0000011E">
      <w:pPr>
        <w:widowControl w:val="off"/>
        <w:ind w:firstLine="720"/>
        <w:rPr>
          <w:rFonts w:ascii="Times New Roman CYR" w:cs="Times New Roman CYR" w:hAnsi="Times New Roman CYR"/>
        </w:rPr>
      </w:pPr>
      <w:bookmarkEnd w:id="151"/>
      <w:bookmarkStart w:id="152" w:name="sub_501064"/>
      <w:r>
        <w:rPr>
          <w:rFonts w:ascii="Times New Roman CYR" w:cs="Times New Roman CYR" w:hAnsi="Times New Roman CYR"/>
        </w:rPr>
        <w:t>4) информацию о порядке, сроке и форме внесения участниками общественных обсу</w:t>
      </w:r>
      <w:r>
        <w:rPr>
          <w:rFonts w:ascii="Times New Roman CYR" w:cs="Times New Roman CYR" w:hAnsi="Times New Roman CYR"/>
        </w:rPr>
        <w:t>ж</w:t>
      </w:r>
      <w:r>
        <w:rPr>
          <w:rFonts w:ascii="Times New Roman CYR" w:cs="Times New Roman CYR" w:hAnsi="Times New Roman CYR"/>
        </w:rPr>
        <w:t>дений или публичных слушаний предложений и замечаний, касающихся проекта, подлежащ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го рассмотрению на общественных обсуждениях или публичных слушаниях.</w:t>
      </w:r>
    </w:p>
    <w:p w14:paraId="0000011F">
      <w:pPr>
        <w:widowControl w:val="off"/>
        <w:ind w:firstLine="720"/>
        <w:rPr>
          <w:rFonts w:ascii="Times New Roman CYR" w:cs="Times New Roman CYR" w:hAnsi="Times New Roman CYR"/>
        </w:rPr>
      </w:pPr>
      <w:bookmarkEnd w:id="152"/>
      <w:bookmarkStart w:id="153" w:name="sub_50107"/>
      <w:r>
        <w:rPr>
          <w:rFonts w:ascii="Times New Roman CYR" w:cs="Times New Roman CYR" w:hAnsi="Times New Roman CYR"/>
        </w:rPr>
        <w:t xml:space="preserve">7. </w:t>
      </w:r>
      <w:r>
        <w:rPr>
          <w:rFonts w:ascii="Times New Roman CYR" w:cs="Times New Roman CYR" w:hAnsi="Times New Roman CYR"/>
        </w:rPr>
        <w:t>Оповещение о начале общественных обсуждений также должно содержать информ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</w:t>
      </w:r>
      <w:r>
        <w:rPr>
          <w:rFonts w:ascii="Times New Roman CYR" w:cs="Times New Roman CYR" w:hAnsi="Times New Roman CYR"/>
        </w:rPr>
        <w:t xml:space="preserve"> Оповещение о начале публичных слушаний также должно содержать информацию об официальном сайте, на кот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ром будут размещены проект, подлежащий рассмотрению на публичных слушаниях, и и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>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14:paraId="00000120">
      <w:pPr>
        <w:widowControl w:val="off"/>
        <w:ind w:firstLine="720"/>
        <w:rPr>
          <w:rFonts w:ascii="Times New Roman CYR" w:cs="Times New Roman CYR" w:hAnsi="Times New Roman CYR"/>
        </w:rPr>
      </w:pPr>
      <w:bookmarkEnd w:id="153"/>
      <w:bookmarkStart w:id="154" w:name="sub_50108"/>
      <w:r>
        <w:rPr>
          <w:rFonts w:ascii="Times New Roman CYR" w:cs="Times New Roman CYR" w:hAnsi="Times New Roman CYR"/>
        </w:rPr>
        <w:t>8. Оповещение о начале общественных обсуждений или публичных слушаний:</w:t>
      </w:r>
    </w:p>
    <w:p w14:paraId="00000121">
      <w:pPr>
        <w:widowControl w:val="off"/>
        <w:ind w:firstLine="720"/>
        <w:rPr>
          <w:rFonts w:ascii="Times New Roman CYR" w:cs="Times New Roman CYR" w:hAnsi="Times New Roman CYR"/>
        </w:rPr>
      </w:pPr>
      <w:bookmarkEnd w:id="154"/>
      <w:bookmarkStart w:id="155" w:name="sub_501081"/>
      <w:r>
        <w:rPr>
          <w:rFonts w:ascii="Times New Roman CYR" w:cs="Times New Roman CYR" w:hAnsi="Times New Roman CYR"/>
        </w:rPr>
        <w:t xml:space="preserve">1) не </w:t>
      </w:r>
      <w:r>
        <w:rPr>
          <w:rFonts w:ascii="Times New Roman CYR" w:cs="Times New Roman CYR" w:hAnsi="Times New Roman CYR"/>
        </w:rPr>
        <w:t>позднее</w:t>
      </w:r>
      <w:r>
        <w:rPr>
          <w:rFonts w:ascii="Times New Roman CYR" w:cs="Times New Roman CYR" w:hAnsi="Times New Roman CYR"/>
        </w:rPr>
        <w:t xml:space="preserve"> чем за семь дней до дня размещения на официальном сайте или в инфо</w:t>
      </w:r>
      <w:r>
        <w:rPr>
          <w:rFonts w:ascii="Times New Roman CYR" w:cs="Times New Roman CYR" w:hAnsi="Times New Roman CYR"/>
        </w:rPr>
        <w:t>р</w:t>
      </w:r>
      <w:r>
        <w:rPr>
          <w:rFonts w:ascii="Times New Roman CYR" w:cs="Times New Roman CYR" w:hAnsi="Times New Roman CYR"/>
        </w:rPr>
        <w:t>мационных системах проекта, подлежащего рассмотрению на общественных обсуждениях или публичных слушаниях, подлежит опубликованию в порядке, установленном для официальн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го опубликования 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</w:t>
      </w:r>
      <w:r>
        <w:rPr>
          <w:rFonts w:ascii="Times New Roman CYR" w:cs="Times New Roman CYR" w:hAnsi="Times New Roman CYR"/>
        </w:rPr>
        <w:t>с</w:t>
      </w:r>
      <w:r>
        <w:rPr>
          <w:rFonts w:ascii="Times New Roman CYR" w:cs="Times New Roman CYR" w:hAnsi="Times New Roman CYR"/>
        </w:rPr>
        <w:t>совой информации;</w:t>
      </w:r>
    </w:p>
    <w:p w14:paraId="00000122">
      <w:pPr>
        <w:widowControl w:val="off"/>
        <w:ind w:firstLine="720"/>
        <w:rPr>
          <w:rFonts w:ascii="Times New Roman CYR" w:cs="Times New Roman CYR" w:hAnsi="Times New Roman CYR"/>
        </w:rPr>
      </w:pPr>
      <w:bookmarkEnd w:id="155"/>
      <w:bookmarkStart w:id="156" w:name="sub_501082"/>
      <w:r>
        <w:rPr>
          <w:rFonts w:ascii="Times New Roman CYR" w:cs="Times New Roman CYR" w:hAnsi="Times New Roman CYR"/>
        </w:rPr>
        <w:t xml:space="preserve">2) распространяется на информационных стендах, оборудованных около </w:t>
      </w:r>
      <w:r>
        <w:rPr>
          <w:rFonts w:ascii="Times New Roman CYR" w:cs="Times New Roman CYR" w:hAnsi="Times New Roman CYR"/>
        </w:rPr>
        <w:t>здания</w:t>
      </w:r>
      <w:r>
        <w:rPr>
          <w:rFonts w:ascii="Times New Roman CYR" w:cs="Times New Roman CYR" w:hAnsi="Times New Roman CYR"/>
        </w:rPr>
        <w:t xml:space="preserve"> упо</w:t>
      </w:r>
      <w:r>
        <w:rPr>
          <w:rFonts w:ascii="Times New Roman CYR" w:cs="Times New Roman CYR" w:hAnsi="Times New Roman CYR"/>
        </w:rPr>
        <w:t>л</w:t>
      </w:r>
      <w:r>
        <w:rPr>
          <w:rFonts w:ascii="Times New Roman CYR" w:cs="Times New Roman CYR" w:hAnsi="Times New Roman CYR"/>
        </w:rPr>
        <w:t>номоченного на проведение общественных обсуждений или публичных слушаний органа местного самоуправления, в местах массового скопления граждан и в иных местах, распол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 xml:space="preserve">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 </w:t>
      </w:r>
      <w:r>
        <w:fldChar w:fldCharType="begin"/>
      </w:r>
      <w:r>
        <w:instrText xml:space="preserve">HYPERLINK \l "sub_50103" </w:instrText>
      </w:r>
      <w:r>
        <w:fldChar w:fldCharType="separate"/>
      </w:r>
      <w:r>
        <w:rPr>
          <w:rFonts w:ascii="Times New Roman CYR" w:cs="Times New Roman CYR" w:hAnsi="Times New Roman CYR"/>
        </w:rPr>
        <w:t>части 3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 (далее - территория, в пределах которой проводятся общественные обсу</w:t>
      </w:r>
      <w:r>
        <w:rPr>
          <w:rFonts w:ascii="Times New Roman CYR" w:cs="Times New Roman CYR" w:hAnsi="Times New Roman CYR"/>
        </w:rPr>
        <w:t>ж</w:t>
      </w:r>
      <w:r>
        <w:rPr>
          <w:rFonts w:ascii="Times New Roman CYR" w:cs="Times New Roman CYR" w:hAnsi="Times New Roman CYR"/>
        </w:rPr>
        <w:t>дения или публичные слушания и (или) общественные обсуждения), иными способами, обе</w:t>
      </w:r>
      <w:r>
        <w:rPr>
          <w:rFonts w:ascii="Times New Roman CYR" w:cs="Times New Roman CYR" w:hAnsi="Times New Roman CYR"/>
        </w:rPr>
        <w:t>с</w:t>
      </w:r>
      <w:r>
        <w:rPr>
          <w:rFonts w:ascii="Times New Roman CYR" w:cs="Times New Roman CYR" w:hAnsi="Times New Roman CYR"/>
        </w:rPr>
        <w:t>печивающими доступ участников общественных обсуждений или публичных слушаний к ук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занной информации.</w:t>
      </w:r>
    </w:p>
    <w:p w14:paraId="00000123">
      <w:pPr>
        <w:widowControl w:val="off"/>
        <w:ind w:firstLine="720"/>
        <w:rPr>
          <w:rFonts w:ascii="Times New Roman CYR" w:cs="Times New Roman CYR" w:hAnsi="Times New Roman CYR"/>
        </w:rPr>
      </w:pPr>
      <w:bookmarkEnd w:id="156"/>
      <w:bookmarkStart w:id="157" w:name="sub_50109"/>
      <w:r>
        <w:rPr>
          <w:rFonts w:ascii="Times New Roman CYR" w:cs="Times New Roman CYR" w:hAnsi="Times New Roman CYR"/>
        </w:rPr>
        <w:t xml:space="preserve">9. В течение всего периода размещения в соответствии с </w:t>
      </w:r>
      <w:r>
        <w:fldChar w:fldCharType="begin"/>
      </w:r>
      <w:r>
        <w:instrText xml:space="preserve">HYPERLINK \l "sub_501042" </w:instrText>
      </w:r>
      <w:r>
        <w:fldChar w:fldCharType="separate"/>
      </w:r>
      <w:r>
        <w:rPr>
          <w:rFonts w:ascii="Times New Roman CYR" w:cs="Times New Roman CYR" w:hAnsi="Times New Roman CYR"/>
        </w:rPr>
        <w:t>пунктом 2 части 4</w:t>
      </w:r>
      <w:r>
        <w:fldChar w:fldCharType="end"/>
      </w:r>
      <w:r>
        <w:rPr>
          <w:rFonts w:ascii="Times New Roman CYR" w:cs="Times New Roman CYR" w:hAnsi="Times New Roman CYR"/>
        </w:rPr>
        <w:t xml:space="preserve"> и </w:t>
      </w:r>
      <w:r>
        <w:fldChar w:fldCharType="begin"/>
      </w:r>
      <w:r>
        <w:instrText xml:space="preserve">HYPERLINK \l "sub_501052" </w:instrText>
      </w:r>
      <w:r>
        <w:fldChar w:fldCharType="separate"/>
      </w:r>
      <w:r>
        <w:rPr>
          <w:rFonts w:ascii="Times New Roman CYR" w:cs="Times New Roman CYR" w:hAnsi="Times New Roman CYR"/>
        </w:rPr>
        <w:t>пунктом 2 части 5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 проекта, подлежащего рассмотрению на общественных обсужден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</w:t>
      </w:r>
      <w:r>
        <w:rPr>
          <w:rFonts w:ascii="Times New Roman CYR" w:cs="Times New Roman CYR" w:hAnsi="Times New Roman CYR"/>
        </w:rPr>
        <w:t>н</w:t>
      </w:r>
      <w:r>
        <w:rPr>
          <w:rFonts w:ascii="Times New Roman CYR" w:cs="Times New Roman CYR" w:hAnsi="Times New Roman CYR"/>
        </w:rPr>
        <w:t>сультирование посетителей экспозиции, распространение информационных материалов о пр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екте, подлежащем рассмотрению на общественных обсуждениях или публичных слушаниях. Консультирование посетителей экспозиции осуществляется представителями уполномоченн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го на проведение общественных обсуждений или публичных слушаний органа местного сам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управления или созданного им коллегиального совещательного органа (далее - организатор общественных обсуждений или публичных слушаний) и (или) разработчика проекта, подл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жащего рассмотрению на общественных обсуждениях или публичных слушаниях.</w:t>
      </w:r>
    </w:p>
    <w:p w14:paraId="00000124">
      <w:pPr>
        <w:widowControl w:val="off"/>
        <w:ind w:firstLine="720"/>
        <w:rPr>
          <w:rFonts w:ascii="Times New Roman CYR" w:cs="Times New Roman CYR" w:hAnsi="Times New Roman CYR"/>
        </w:rPr>
      </w:pPr>
      <w:bookmarkEnd w:id="157"/>
      <w:bookmarkStart w:id="158" w:name="sub_501010"/>
      <w:r>
        <w:rPr>
          <w:rFonts w:ascii="Times New Roman CYR" w:cs="Times New Roman CYR" w:hAnsi="Times New Roman CYR"/>
        </w:rPr>
        <w:t xml:space="preserve">10. </w:t>
      </w:r>
      <w:r>
        <w:rPr>
          <w:rFonts w:ascii="Times New Roman CYR" w:cs="Times New Roman CYR" w:hAnsi="Times New Roman CYR"/>
        </w:rPr>
        <w:t xml:space="preserve">В период размещения в соответствии с </w:t>
      </w:r>
      <w:r>
        <w:fldChar w:fldCharType="begin"/>
      </w:r>
      <w:r>
        <w:instrText xml:space="preserve">HYPERLINK \l "sub_501042" </w:instrText>
      </w:r>
      <w:r>
        <w:fldChar w:fldCharType="separate"/>
      </w:r>
      <w:r>
        <w:rPr>
          <w:rFonts w:ascii="Times New Roman CYR" w:cs="Times New Roman CYR" w:hAnsi="Times New Roman CYR"/>
        </w:rPr>
        <w:t>пунктом 2 части 4</w:t>
      </w:r>
      <w:r>
        <w:fldChar w:fldCharType="end"/>
      </w:r>
      <w:r>
        <w:rPr>
          <w:rFonts w:ascii="Times New Roman CYR" w:cs="Times New Roman CYR" w:hAnsi="Times New Roman CYR"/>
        </w:rPr>
        <w:t xml:space="preserve"> и </w:t>
      </w:r>
      <w:r>
        <w:fldChar w:fldCharType="begin"/>
      </w:r>
      <w:r>
        <w:instrText xml:space="preserve">HYPERLINK \l "sub_501052" </w:instrText>
      </w:r>
      <w:r>
        <w:fldChar w:fldCharType="separate"/>
      </w:r>
      <w:r>
        <w:rPr>
          <w:rFonts w:ascii="Times New Roman CYR" w:cs="Times New Roman CYR" w:hAnsi="Times New Roman CYR"/>
        </w:rPr>
        <w:t>пунктом 2 части 5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 </w:t>
      </w:r>
      <w:r>
        <w:fldChar w:fldCharType="begin"/>
      </w:r>
      <w:r>
        <w:instrText xml:space="preserve">HYPERLINK \l "sub_501012" </w:instrText>
      </w:r>
      <w:r>
        <w:fldChar w:fldCharType="separate"/>
      </w:r>
      <w:r>
        <w:rPr>
          <w:rFonts w:ascii="Times New Roman CYR" w:cs="Times New Roman CYR" w:hAnsi="Times New Roman CYR"/>
        </w:rPr>
        <w:t>частью 12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 идентификацию, имеют право вн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сить предложения и замечания, касающиеся</w:t>
      </w:r>
      <w:r>
        <w:rPr>
          <w:rFonts w:ascii="Times New Roman CYR" w:cs="Times New Roman CYR" w:hAnsi="Times New Roman CYR"/>
        </w:rPr>
        <w:t xml:space="preserve"> такого проекта:</w:t>
      </w:r>
    </w:p>
    <w:p w14:paraId="00000125">
      <w:pPr>
        <w:widowControl w:val="off"/>
        <w:ind w:firstLine="720"/>
        <w:rPr>
          <w:rFonts w:ascii="Times New Roman CYR" w:cs="Times New Roman CYR" w:hAnsi="Times New Roman CYR"/>
        </w:rPr>
      </w:pPr>
      <w:bookmarkEnd w:id="158"/>
      <w:bookmarkStart w:id="159" w:name="sub_501101"/>
      <w:r>
        <w:rPr>
          <w:rFonts w:ascii="Times New Roman CYR" w:cs="Times New Roman CYR" w:hAnsi="Times New Roman CYR"/>
        </w:rPr>
        <w:t>1) посредством официального сайта или информационных систем (в случае проведения общественных обсуждений);</w:t>
      </w:r>
    </w:p>
    <w:p w14:paraId="00000126">
      <w:pPr>
        <w:widowControl w:val="off"/>
        <w:ind w:firstLine="720"/>
        <w:rPr>
          <w:rFonts w:ascii="Times New Roman CYR" w:cs="Times New Roman CYR" w:hAnsi="Times New Roman CYR"/>
        </w:rPr>
      </w:pPr>
      <w:bookmarkEnd w:id="159"/>
      <w:bookmarkStart w:id="160" w:name="sub_501102"/>
      <w:r>
        <w:rPr>
          <w:rFonts w:ascii="Times New Roman CYR" w:cs="Times New Roman CYR" w:hAnsi="Times New Roman CYR"/>
        </w:rPr>
        <w:t>2) в письменной или устной форме в ходе проведения собрания или собраний участн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ков публичных слушаний (в случае проведения публичных слушаний);</w:t>
      </w:r>
    </w:p>
    <w:p w14:paraId="00000127">
      <w:pPr>
        <w:widowControl w:val="off"/>
        <w:ind w:firstLine="720"/>
        <w:rPr>
          <w:rFonts w:ascii="Times New Roman CYR" w:cs="Times New Roman CYR" w:hAnsi="Times New Roman CYR"/>
        </w:rPr>
      </w:pPr>
      <w:bookmarkEnd w:id="160"/>
      <w:bookmarkStart w:id="161" w:name="sub_501103"/>
      <w:r>
        <w:rPr>
          <w:rFonts w:ascii="Times New Roman CYR" w:cs="Times New Roman CYR" w:hAnsi="Times New Roman CYR"/>
        </w:rPr>
        <w:t>3) в письменной форме в адрес организатора общественных обсуждений или публи</w:t>
      </w:r>
      <w:r>
        <w:rPr>
          <w:rFonts w:ascii="Times New Roman CYR" w:cs="Times New Roman CYR" w:hAnsi="Times New Roman CYR"/>
        </w:rPr>
        <w:t>ч</w:t>
      </w:r>
      <w:r>
        <w:rPr>
          <w:rFonts w:ascii="Times New Roman CYR" w:cs="Times New Roman CYR" w:hAnsi="Times New Roman CYR"/>
        </w:rPr>
        <w:t>ных слушаний;</w:t>
      </w:r>
    </w:p>
    <w:p w14:paraId="00000128">
      <w:pPr>
        <w:widowControl w:val="off"/>
        <w:ind w:firstLine="720"/>
        <w:rPr>
          <w:rFonts w:ascii="Times New Roman CYR" w:cs="Times New Roman CYR" w:hAnsi="Times New Roman CYR"/>
        </w:rPr>
      </w:pPr>
      <w:bookmarkEnd w:id="161"/>
      <w:bookmarkStart w:id="162" w:name="sub_501104"/>
      <w:r>
        <w:rPr>
          <w:rFonts w:ascii="Times New Roman CYR" w:cs="Times New Roman CYR" w:hAnsi="Times New Roman CYR"/>
        </w:rPr>
        <w:t>4) посредством записи в книге (журнале) учета посетителей экспозиции проекта, по</w:t>
      </w:r>
      <w:r>
        <w:rPr>
          <w:rFonts w:ascii="Times New Roman CYR" w:cs="Times New Roman CYR" w:hAnsi="Times New Roman CYR"/>
        </w:rPr>
        <w:t>д</w:t>
      </w:r>
      <w:r>
        <w:rPr>
          <w:rFonts w:ascii="Times New Roman CYR" w:cs="Times New Roman CYR" w:hAnsi="Times New Roman CYR"/>
        </w:rPr>
        <w:t>лежащего рассмотрению на общественных обсуждениях или публичных слушаниях.</w:t>
      </w:r>
    </w:p>
    <w:p w14:paraId="00000129">
      <w:pPr>
        <w:widowControl w:val="off"/>
        <w:ind w:firstLine="720"/>
        <w:rPr>
          <w:rFonts w:ascii="Times New Roman CYR" w:cs="Times New Roman CYR" w:hAnsi="Times New Roman CYR"/>
        </w:rPr>
      </w:pPr>
      <w:bookmarkEnd w:id="162"/>
      <w:bookmarkStart w:id="163" w:name="sub_501011"/>
      <w:r>
        <w:rPr>
          <w:rFonts w:ascii="Times New Roman CYR" w:cs="Times New Roman CYR" w:hAnsi="Times New Roman CYR"/>
        </w:rPr>
        <w:t xml:space="preserve">11. Предложения и замечания, внесенные в соответствии с </w:t>
      </w:r>
      <w:r>
        <w:fldChar w:fldCharType="begin"/>
      </w:r>
      <w:r>
        <w:instrText xml:space="preserve">HYPERLINK "http://ivo.garant.ru/document?id=57329391&amp;sub=501010" </w:instrText>
      </w:r>
      <w:r>
        <w:fldChar w:fldCharType="separate"/>
      </w:r>
      <w:r>
        <w:rPr>
          <w:rFonts w:ascii="Times New Roman CYR" w:cs="Times New Roman CYR" w:hAnsi="Times New Roman CYR"/>
        </w:rPr>
        <w:t>частью 10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статьи, </w:t>
      </w:r>
      <w:r>
        <w:rPr>
          <w:rFonts w:ascii="Times New Roman CYR" w:cs="Times New Roman CYR" w:hAnsi="Times New Roman CYR"/>
        </w:rPr>
        <w:t>подлежит</w:t>
      </w:r>
      <w:r>
        <w:rPr>
          <w:rFonts w:ascii="Times New Roman CYR" w:cs="Times New Roman CYR" w:hAnsi="Times New Roman CYR"/>
        </w:rPr>
        <w:t xml:space="preserve"> регистрации, а также обязательному рассмотрению организатором общественных обсуждений или публичных слушаний, за исключением случая, предусмотренного </w:t>
      </w:r>
      <w:r>
        <w:fldChar w:fldCharType="begin"/>
      </w:r>
      <w:r>
        <w:instrText xml:space="preserve">HYPERLINK \l "sub_501015" </w:instrText>
      </w:r>
      <w:r>
        <w:fldChar w:fldCharType="separate"/>
      </w:r>
      <w:r>
        <w:rPr>
          <w:rFonts w:ascii="Times New Roman CYR" w:cs="Times New Roman CYR" w:hAnsi="Times New Roman CYR"/>
        </w:rPr>
        <w:t>частью 15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статьи.</w:t>
      </w:r>
    </w:p>
    <w:p w14:paraId="0000012A">
      <w:pPr>
        <w:widowControl w:val="off"/>
        <w:ind w:firstLine="720"/>
        <w:rPr>
          <w:rFonts w:ascii="Times New Roman CYR" w:cs="Times New Roman CYR" w:hAnsi="Times New Roman CYR"/>
        </w:rPr>
      </w:pPr>
      <w:bookmarkEnd w:id="163"/>
      <w:bookmarkStart w:id="164" w:name="sub_501012"/>
      <w:r>
        <w:rPr>
          <w:rFonts w:ascii="Times New Roman CYR" w:cs="Times New Roman CYR" w:hAnsi="Times New Roman CYR"/>
        </w:rPr>
        <w:t>12. Участники общественных обсуждений или публичных слушаний в целях идент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фикации представляют сведения о себе (фамилию, имя, отчество (при наличии), дату рожд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 xml:space="preserve">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  <w:r>
        <w:rPr>
          <w:rFonts w:ascii="Times New Roman CYR" w:cs="Times New Roman CYR" w:hAnsi="Times New Roman CYR"/>
        </w:rPr>
        <w:t>Участники общественных о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суждений или публичных слушаний, являющиеся правообладателями соответствующих з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тельства, из Единого государственного реестра недвижимости и иные документы, устанавл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вающие или удостоверяющие их права на</w:t>
      </w:r>
      <w:r>
        <w:rPr>
          <w:rFonts w:ascii="Times New Roman CYR" w:cs="Times New Roman CYR" w:hAnsi="Times New Roman CYR"/>
        </w:rPr>
        <w:t xml:space="preserve"> такие земельные участки, объекты капитального строительства, помещения, являющиеся частью указанных объектов капитального строител</w:t>
      </w:r>
      <w:r>
        <w:rPr>
          <w:rFonts w:ascii="Times New Roman CYR" w:cs="Times New Roman CYR" w:hAnsi="Times New Roman CYR"/>
        </w:rPr>
        <w:t>ь</w:t>
      </w:r>
      <w:r>
        <w:rPr>
          <w:rFonts w:ascii="Times New Roman CYR" w:cs="Times New Roman CYR" w:hAnsi="Times New Roman CYR"/>
        </w:rPr>
        <w:t>ства.</w:t>
      </w:r>
    </w:p>
    <w:p w14:paraId="0000012B">
      <w:pPr>
        <w:widowControl w:val="off"/>
        <w:ind w:firstLine="720"/>
        <w:rPr>
          <w:rFonts w:ascii="Times New Roman CYR" w:cs="Times New Roman CYR" w:hAnsi="Times New Roman CYR"/>
        </w:rPr>
      </w:pPr>
      <w:bookmarkEnd w:id="164"/>
      <w:bookmarkStart w:id="165" w:name="sub_501013"/>
      <w:r>
        <w:rPr>
          <w:rFonts w:ascii="Times New Roman CYR" w:cs="Times New Roman CYR" w:hAnsi="Times New Roman CYR"/>
        </w:rPr>
        <w:t xml:space="preserve">13. Не требуется представление указанных в </w:t>
      </w:r>
      <w:r>
        <w:fldChar w:fldCharType="begin"/>
      </w:r>
      <w:r>
        <w:instrText xml:space="preserve">HYPERLINK \l "sub_501012" </w:instrText>
      </w:r>
      <w:r>
        <w:fldChar w:fldCharType="separate"/>
      </w:r>
      <w:r>
        <w:rPr>
          <w:rFonts w:ascii="Times New Roman CYR" w:cs="Times New Roman CYR" w:hAnsi="Times New Roman CYR"/>
        </w:rPr>
        <w:t>части 12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 документов, подтверждающих сведения об участниках общественных обсуждений (фамилию, имя, отч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сающиеся проекта, подлежащего рассмотрению на общественных обсуждениях, посредством официального сайта или информационных систем (при условии, что эти сведения содержатся на официальном сайте или в информационных системах). При этом для подтверждения свед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ний, указанных в части 12 настоящей статьи, может использоваться единая система идент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фикац</w:t>
      </w:r>
      <w:r>
        <w:rPr>
          <w:rFonts w:ascii="Times New Roman CYR" w:cs="Times New Roman CYR" w:hAnsi="Times New Roman CYR"/>
        </w:rPr>
        <w:t>ии и ау</w:t>
      </w:r>
      <w:r>
        <w:rPr>
          <w:rFonts w:ascii="Times New Roman CYR" w:cs="Times New Roman CYR" w:hAnsi="Times New Roman CYR"/>
        </w:rPr>
        <w:t>тентификации.</w:t>
      </w:r>
    </w:p>
    <w:p w14:paraId="0000012C">
      <w:pPr>
        <w:widowControl w:val="off"/>
        <w:ind w:firstLine="720"/>
        <w:rPr>
          <w:rFonts w:ascii="Times New Roman CYR" w:cs="Times New Roman CYR" w:hAnsi="Times New Roman CYR"/>
        </w:rPr>
      </w:pPr>
      <w:bookmarkEnd w:id="165"/>
      <w:bookmarkStart w:id="166" w:name="sub_501014"/>
      <w:r>
        <w:rPr>
          <w:rFonts w:ascii="Times New Roman CYR" w:cs="Times New Roman CYR" w:hAnsi="Times New Roman CYR"/>
        </w:rPr>
        <w:t>14. Обработка персональных данных участников общественных обсуждений или пу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 xml:space="preserve">личных слушаний осуществляется с учетом требований, установленных </w:t>
      </w:r>
      <w:r>
        <w:fldChar w:fldCharType="begin"/>
      </w:r>
      <w:r>
        <w:instrText xml:space="preserve">HYPERLINK "http://ivo.garant.ru/document?id=12048567&amp;sub=0" </w:instrText>
      </w:r>
      <w:r>
        <w:fldChar w:fldCharType="separate"/>
      </w:r>
      <w:r>
        <w:rPr>
          <w:rFonts w:ascii="Times New Roman CYR" w:cs="Times New Roman CYR" w:hAnsi="Times New Roman CYR"/>
        </w:rPr>
        <w:t>Федеральным зак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ном</w:t>
      </w:r>
      <w:r>
        <w:fldChar w:fldCharType="end"/>
      </w:r>
      <w:r>
        <w:rPr>
          <w:rFonts w:ascii="Times New Roman CYR" w:cs="Times New Roman CYR" w:hAnsi="Times New Roman CYR"/>
        </w:rPr>
        <w:t xml:space="preserve"> от 27 июля 2006 года N 152-ФЗ "О персональных данных".</w:t>
      </w:r>
    </w:p>
    <w:p w14:paraId="0000012D">
      <w:pPr>
        <w:widowControl w:val="off"/>
        <w:ind w:firstLine="720"/>
        <w:rPr>
          <w:rFonts w:ascii="Times New Roman CYR" w:cs="Times New Roman CYR" w:hAnsi="Times New Roman CYR"/>
        </w:rPr>
      </w:pPr>
      <w:bookmarkEnd w:id="166"/>
      <w:bookmarkStart w:id="167" w:name="sub_501015"/>
      <w:r>
        <w:rPr>
          <w:rFonts w:ascii="Times New Roman CYR" w:cs="Times New Roman CYR" w:hAnsi="Times New Roman CYR"/>
        </w:rPr>
        <w:t xml:space="preserve">15. Предложения и замечания, внесенные в соответствии с </w:t>
      </w:r>
      <w:r>
        <w:fldChar w:fldCharType="begin"/>
      </w:r>
      <w:r>
        <w:instrText xml:space="preserve">HYPERLINK \l "sub_501010" </w:instrText>
      </w:r>
      <w:r>
        <w:fldChar w:fldCharType="separate"/>
      </w:r>
      <w:r>
        <w:rPr>
          <w:rFonts w:ascii="Times New Roman CYR" w:cs="Times New Roman CYR" w:hAnsi="Times New Roman CYR"/>
        </w:rPr>
        <w:t>частью 10</w:t>
      </w:r>
      <w:r>
        <w:fldChar w:fldCharType="end"/>
      </w:r>
      <w:r>
        <w:rPr>
          <w:rFonts w:ascii="Times New Roman CYR" w:cs="Times New Roman CYR" w:hAnsi="Times New Roman CYR"/>
        </w:rPr>
        <w:t xml:space="preserve"> настоящей статьи, не рассматриваются в случае выявления факта представления участником общественных о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суждений или публичных слушаний недостоверных сведений.</w:t>
      </w:r>
    </w:p>
    <w:p w14:paraId="0000012E">
      <w:pPr>
        <w:widowControl w:val="off"/>
        <w:ind w:firstLine="720"/>
        <w:rPr>
          <w:rFonts w:ascii="Times New Roman CYR" w:cs="Times New Roman CYR" w:hAnsi="Times New Roman CYR"/>
        </w:rPr>
      </w:pPr>
      <w:bookmarkEnd w:id="167"/>
      <w:bookmarkStart w:id="168" w:name="sub_501016"/>
      <w:r>
        <w:rPr>
          <w:rFonts w:ascii="Times New Roman CYR" w:cs="Times New Roman CYR" w:hAnsi="Times New Roman CYR"/>
        </w:rPr>
        <w:t xml:space="preserve">16. </w:t>
      </w:r>
      <w:r>
        <w:rPr>
          <w:rFonts w:ascii="Times New Roman CYR" w:cs="Times New Roman CYR" w:hAnsi="Times New Roman CYR"/>
        </w:rPr>
        <w:t>Организатором общественных обсуждений или публичных слушаний обеспечив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</w:t>
      </w:r>
      <w:r>
        <w:rPr>
          <w:rFonts w:ascii="Times New Roman CYR" w:cs="Times New Roman CYR" w:hAnsi="Times New Roman CYR"/>
        </w:rPr>
        <w:t>у</w:t>
      </w:r>
      <w:r>
        <w:rPr>
          <w:rFonts w:ascii="Times New Roman CYR" w:cs="Times New Roman CYR" w:hAnsi="Times New Roman CYR"/>
        </w:rPr>
        <w:t>шаний (в том числе путем предоставления при проведении общественных обсуждений дост</w:t>
      </w:r>
      <w:r>
        <w:rPr>
          <w:rFonts w:ascii="Times New Roman CYR" w:cs="Times New Roman CYR" w:hAnsi="Times New Roman CYR"/>
        </w:rPr>
        <w:t>у</w:t>
      </w:r>
      <w:r>
        <w:rPr>
          <w:rFonts w:ascii="Times New Roman CYR" w:cs="Times New Roman CYR" w:hAnsi="Times New Roman CYR"/>
        </w:rPr>
        <w:t>па к официальному сайту, информационным системам в многофункциональных центрах предоставления государственных и муниципальных услуг и (или) помещениях органов гос</w:t>
      </w:r>
      <w:r>
        <w:rPr>
          <w:rFonts w:ascii="Times New Roman CYR" w:cs="Times New Roman CYR" w:hAnsi="Times New Roman CYR"/>
        </w:rPr>
        <w:t>у</w:t>
      </w:r>
      <w:r>
        <w:rPr>
          <w:rFonts w:ascii="Times New Roman CYR" w:cs="Times New Roman CYR" w:hAnsi="Times New Roman CYR"/>
        </w:rPr>
        <w:t>дарственной власти субъектов Российской Федерации, органов местного</w:t>
      </w:r>
      <w:r>
        <w:rPr>
          <w:rFonts w:ascii="Times New Roman CYR" w:cs="Times New Roman CYR" w:hAnsi="Times New Roman CYR"/>
        </w:rPr>
        <w:t xml:space="preserve"> самоуправления, подведомственных им организаций).</w:t>
      </w:r>
    </w:p>
    <w:p w14:paraId="0000012F">
      <w:pPr>
        <w:widowControl w:val="off"/>
        <w:ind w:firstLine="720"/>
        <w:rPr>
          <w:rFonts w:ascii="Times New Roman CYR" w:cs="Times New Roman CYR" w:hAnsi="Times New Roman CYR"/>
        </w:rPr>
      </w:pPr>
      <w:bookmarkEnd w:id="168"/>
      <w:bookmarkStart w:id="169" w:name="sub_501017"/>
      <w:r>
        <w:rPr>
          <w:rFonts w:ascii="Times New Roman CYR" w:cs="Times New Roman CYR" w:hAnsi="Times New Roman CYR"/>
        </w:rPr>
        <w:t>17. Официальный сайт и (или) информационные системы должны обеспечивать во</w:t>
      </w:r>
      <w:r>
        <w:rPr>
          <w:rFonts w:ascii="Times New Roman CYR" w:cs="Times New Roman CYR" w:hAnsi="Times New Roman CYR"/>
        </w:rPr>
        <w:t>з</w:t>
      </w:r>
      <w:r>
        <w:rPr>
          <w:rFonts w:ascii="Times New Roman CYR" w:cs="Times New Roman CYR" w:hAnsi="Times New Roman CYR"/>
        </w:rPr>
        <w:t>можность:</w:t>
      </w:r>
    </w:p>
    <w:p w14:paraId="00000130">
      <w:pPr>
        <w:widowControl w:val="off"/>
        <w:ind w:firstLine="720"/>
        <w:rPr>
          <w:rFonts w:ascii="Times New Roman CYR" w:cs="Times New Roman CYR" w:hAnsi="Times New Roman CYR"/>
        </w:rPr>
      </w:pPr>
      <w:bookmarkEnd w:id="169"/>
      <w:bookmarkStart w:id="170" w:name="sub_501171"/>
      <w:r>
        <w:rPr>
          <w:rFonts w:ascii="Times New Roman CYR" w:cs="Times New Roman CYR" w:hAnsi="Times New Roman CYR"/>
        </w:rPr>
        <w:t>1) проверки участниками общественных обсуждений полноты и достоверности отр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жения на официальном сайте и (или) в информационных системах внесенных ими предлож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ний и замечаний;</w:t>
      </w:r>
    </w:p>
    <w:p w14:paraId="00000131">
      <w:pPr>
        <w:widowControl w:val="off"/>
        <w:ind w:firstLine="720"/>
        <w:rPr>
          <w:rFonts w:ascii="Times New Roman CYR" w:cs="Times New Roman CYR" w:hAnsi="Times New Roman CYR"/>
        </w:rPr>
      </w:pPr>
      <w:bookmarkEnd w:id="170"/>
      <w:bookmarkStart w:id="171" w:name="sub_501172"/>
      <w:r>
        <w:rPr>
          <w:rFonts w:ascii="Times New Roman CYR" w:cs="Times New Roman CYR" w:hAnsi="Times New Roman CYR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14:paraId="00000132">
      <w:pPr>
        <w:widowControl w:val="off"/>
        <w:ind w:firstLine="720"/>
        <w:rPr>
          <w:rFonts w:ascii="Times New Roman CYR" w:cs="Times New Roman CYR" w:hAnsi="Times New Roman CYR"/>
        </w:rPr>
      </w:pPr>
      <w:bookmarkEnd w:id="171"/>
      <w:bookmarkStart w:id="172" w:name="sub_501018"/>
      <w:r>
        <w:rPr>
          <w:rFonts w:ascii="Times New Roman CYR" w:cs="Times New Roman CYR" w:hAnsi="Times New Roman CYR"/>
        </w:rPr>
        <w:t>18. Организатор общественных обсуждений или публичных слушаний подготавливает и оформляет протокол общественных обсуждений или публичных слушаний, в котором ук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зываются:</w:t>
      </w:r>
    </w:p>
    <w:p w14:paraId="00000133">
      <w:pPr>
        <w:widowControl w:val="off"/>
        <w:ind w:firstLine="720"/>
        <w:rPr>
          <w:rFonts w:ascii="Times New Roman CYR" w:cs="Times New Roman CYR" w:hAnsi="Times New Roman CYR"/>
        </w:rPr>
      </w:pPr>
      <w:bookmarkEnd w:id="172"/>
      <w:bookmarkStart w:id="173" w:name="sub_501181"/>
      <w:r>
        <w:rPr>
          <w:rFonts w:ascii="Times New Roman CYR" w:cs="Times New Roman CYR" w:hAnsi="Times New Roman CYR"/>
        </w:rPr>
        <w:t>1) дата оформления протокола общественных обсуждений или публичных слушаний;</w:t>
      </w:r>
    </w:p>
    <w:p w14:paraId="00000134">
      <w:pPr>
        <w:widowControl w:val="off"/>
        <w:ind w:firstLine="720"/>
        <w:rPr>
          <w:rFonts w:ascii="Times New Roman CYR" w:cs="Times New Roman CYR" w:hAnsi="Times New Roman CYR"/>
        </w:rPr>
      </w:pPr>
      <w:bookmarkEnd w:id="173"/>
      <w:bookmarkStart w:id="174" w:name="sub_501182"/>
      <w:r>
        <w:rPr>
          <w:rFonts w:ascii="Times New Roman CYR" w:cs="Times New Roman CYR" w:hAnsi="Times New Roman CYR"/>
        </w:rPr>
        <w:t>2) информация об организаторе общественных обсуждений или публичных слушаний;</w:t>
      </w:r>
    </w:p>
    <w:p w14:paraId="00000135">
      <w:pPr>
        <w:widowControl w:val="off"/>
        <w:ind w:firstLine="720"/>
        <w:rPr>
          <w:rFonts w:ascii="Times New Roman CYR" w:cs="Times New Roman CYR" w:hAnsi="Times New Roman CYR"/>
        </w:rPr>
      </w:pPr>
      <w:bookmarkEnd w:id="174"/>
      <w:bookmarkStart w:id="175" w:name="sub_501183"/>
      <w:r>
        <w:rPr>
          <w:rFonts w:ascii="Times New Roman CYR" w:cs="Times New Roman CYR" w:hAnsi="Times New Roman CYR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14:paraId="00000136">
      <w:pPr>
        <w:widowControl w:val="off"/>
        <w:ind w:firstLine="720"/>
        <w:rPr>
          <w:rFonts w:ascii="Times New Roman CYR" w:cs="Times New Roman CYR" w:hAnsi="Times New Roman CYR"/>
        </w:rPr>
      </w:pPr>
      <w:bookmarkEnd w:id="175"/>
      <w:bookmarkStart w:id="176" w:name="sub_501184"/>
      <w:r>
        <w:rPr>
          <w:rFonts w:ascii="Times New Roman CYR" w:cs="Times New Roman CYR" w:hAnsi="Times New Roman CYR"/>
        </w:rPr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14:paraId="00000137">
      <w:pPr>
        <w:widowControl w:val="off"/>
        <w:ind w:firstLine="720"/>
        <w:rPr>
          <w:rFonts w:ascii="Times New Roman CYR" w:cs="Times New Roman CYR" w:hAnsi="Times New Roman CYR"/>
        </w:rPr>
      </w:pPr>
      <w:bookmarkEnd w:id="176"/>
      <w:bookmarkStart w:id="177" w:name="sub_501185"/>
      <w:r>
        <w:rPr>
          <w:rFonts w:ascii="Times New Roman CYR" w:cs="Times New Roman CYR" w:hAnsi="Times New Roman CYR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</w:t>
      </w:r>
      <w:r>
        <w:rPr>
          <w:rFonts w:ascii="Times New Roman CYR" w:cs="Times New Roman CYR" w:hAnsi="Times New Roman CYR"/>
        </w:rPr>
        <w:t>д</w:t>
      </w:r>
      <w:r>
        <w:rPr>
          <w:rFonts w:ascii="Times New Roman CYR" w:cs="Times New Roman CYR" w:hAnsi="Times New Roman CYR"/>
        </w:rPr>
        <w:t>ложения и замечания иных участников общественных обсуждений или публичных слушаний.</w:t>
      </w:r>
    </w:p>
    <w:p w14:paraId="00000138">
      <w:pPr>
        <w:widowControl w:val="off"/>
        <w:ind w:firstLine="720"/>
        <w:rPr>
          <w:rFonts w:ascii="Times New Roman CYR" w:cs="Times New Roman CYR" w:hAnsi="Times New Roman CYR"/>
        </w:rPr>
      </w:pPr>
      <w:bookmarkEnd w:id="177"/>
      <w:bookmarkStart w:id="178" w:name="sub_501019"/>
      <w:r>
        <w:rPr>
          <w:rFonts w:ascii="Times New Roman CYR" w:cs="Times New Roman CYR" w:hAnsi="Times New Roman CYR"/>
        </w:rPr>
        <w:t xml:space="preserve">19. </w:t>
      </w:r>
      <w:r>
        <w:rPr>
          <w:rFonts w:ascii="Times New Roman CYR" w:cs="Times New Roman CYR" w:hAnsi="Times New Roman CYR"/>
        </w:rPr>
        <w:t>К протоколу общественных обсуждений или публичных слушаний прилагается п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</w:t>
      </w:r>
      <w:r>
        <w:rPr>
          <w:rFonts w:ascii="Times New Roman CYR" w:cs="Times New Roman CYR" w:hAnsi="Times New Roman CYR"/>
        </w:rPr>
        <w:t>ж</w:t>
      </w:r>
      <w:r>
        <w:rPr>
          <w:rFonts w:ascii="Times New Roman CYR" w:cs="Times New Roman CYR" w:hAnsi="Times New Roman CYR"/>
        </w:rPr>
        <w:t>дений или публичных слушаний (фамилию, имя, отчество (при наличии), дату рождения, а</w:t>
      </w:r>
      <w:r>
        <w:rPr>
          <w:rFonts w:ascii="Times New Roman CYR" w:cs="Times New Roman CYR" w:hAnsi="Times New Roman CYR"/>
        </w:rPr>
        <w:t>д</w:t>
      </w:r>
      <w:r>
        <w:rPr>
          <w:rFonts w:ascii="Times New Roman CYR" w:cs="Times New Roman CYR" w:hAnsi="Times New Roman CYR"/>
        </w:rPr>
        <w:t>рес места жительства (регистрации) - для физических лиц; наименование, основной госуда</w:t>
      </w:r>
      <w:r>
        <w:rPr>
          <w:rFonts w:ascii="Times New Roman CYR" w:cs="Times New Roman CYR" w:hAnsi="Times New Roman CYR"/>
        </w:rPr>
        <w:t>р</w:t>
      </w:r>
      <w:r>
        <w:rPr>
          <w:rFonts w:ascii="Times New Roman CYR" w:cs="Times New Roman CYR" w:hAnsi="Times New Roman CYR"/>
        </w:rPr>
        <w:t>ственный регистрационный номер, место нахождения и адрес - для юридических лиц).</w:t>
      </w:r>
    </w:p>
    <w:p w14:paraId="00000139">
      <w:pPr>
        <w:widowControl w:val="off"/>
        <w:ind w:firstLine="720"/>
        <w:rPr>
          <w:rFonts w:ascii="Times New Roman CYR" w:cs="Times New Roman CYR" w:hAnsi="Times New Roman CYR"/>
        </w:rPr>
      </w:pPr>
      <w:bookmarkEnd w:id="178"/>
      <w:bookmarkStart w:id="179" w:name="sub_501020"/>
      <w:r>
        <w:rPr>
          <w:rFonts w:ascii="Times New Roman CYR" w:cs="Times New Roman CYR" w:hAnsi="Times New Roman CYR"/>
        </w:rPr>
        <w:t>20.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ния и замечания.</w:t>
      </w:r>
    </w:p>
    <w:p w14:paraId="0000013A">
      <w:pPr>
        <w:widowControl w:val="off"/>
        <w:ind w:firstLine="720"/>
        <w:rPr>
          <w:rFonts w:ascii="Times New Roman CYR" w:cs="Times New Roman CYR" w:hAnsi="Times New Roman CYR"/>
        </w:rPr>
      </w:pPr>
      <w:bookmarkEnd w:id="179"/>
      <w:bookmarkStart w:id="180" w:name="sub_501021"/>
      <w:r>
        <w:rPr>
          <w:rFonts w:ascii="Times New Roman CYR" w:cs="Times New Roman CYR" w:hAnsi="Times New Roman CYR"/>
        </w:rPr>
        <w:t>21. На основании протокола общественных обсуждений или публичных слушаний о</w:t>
      </w:r>
      <w:r>
        <w:rPr>
          <w:rFonts w:ascii="Times New Roman CYR" w:cs="Times New Roman CYR" w:hAnsi="Times New Roman CYR"/>
        </w:rPr>
        <w:t>р</w:t>
      </w:r>
      <w:r>
        <w:rPr>
          <w:rFonts w:ascii="Times New Roman CYR" w:cs="Times New Roman CYR" w:hAnsi="Times New Roman CYR"/>
        </w:rPr>
        <w:t>ганизатор общественных обсуждений или публичных слушаний осуществляет подготовку з</w:t>
      </w:r>
      <w:r>
        <w:rPr>
          <w:rFonts w:ascii="Times New Roman CYR" w:cs="Times New Roman CYR" w:hAnsi="Times New Roman CYR"/>
        </w:rPr>
        <w:t>а</w:t>
      </w:r>
      <w:r>
        <w:rPr>
          <w:rFonts w:ascii="Times New Roman CYR" w:cs="Times New Roman CYR" w:hAnsi="Times New Roman CYR"/>
        </w:rPr>
        <w:t>ключения о результатах общественных обсуждений или публичных слушаний.</w:t>
      </w:r>
    </w:p>
    <w:p w14:paraId="0000013B">
      <w:pPr>
        <w:widowControl w:val="off"/>
        <w:ind w:firstLine="720"/>
        <w:rPr>
          <w:rFonts w:ascii="Times New Roman CYR" w:cs="Times New Roman CYR" w:hAnsi="Times New Roman CYR"/>
        </w:rPr>
      </w:pPr>
      <w:bookmarkEnd w:id="180"/>
      <w:bookmarkStart w:id="181" w:name="sub_501022"/>
      <w:r>
        <w:rPr>
          <w:rFonts w:ascii="Times New Roman CYR" w:cs="Times New Roman CYR" w:hAnsi="Times New Roman CYR"/>
        </w:rPr>
        <w:t>22. В заключении о результатах общественных обсуждений или публичных слушаний должны быть указаны:</w:t>
      </w:r>
    </w:p>
    <w:p w14:paraId="0000013C">
      <w:pPr>
        <w:widowControl w:val="off"/>
        <w:ind w:firstLine="720"/>
        <w:rPr>
          <w:rFonts w:ascii="Times New Roman CYR" w:cs="Times New Roman CYR" w:hAnsi="Times New Roman CYR"/>
        </w:rPr>
      </w:pPr>
      <w:bookmarkEnd w:id="181"/>
      <w:bookmarkStart w:id="182" w:name="sub_501221"/>
      <w:r>
        <w:rPr>
          <w:rFonts w:ascii="Times New Roman CYR" w:cs="Times New Roman CYR" w:hAnsi="Times New Roman CYR"/>
        </w:rPr>
        <w:t>1) дата оформления заключения о результатах общественных обсуждений или публи</w:t>
      </w:r>
      <w:r>
        <w:rPr>
          <w:rFonts w:ascii="Times New Roman CYR" w:cs="Times New Roman CYR" w:hAnsi="Times New Roman CYR"/>
        </w:rPr>
        <w:t>ч</w:t>
      </w:r>
      <w:r>
        <w:rPr>
          <w:rFonts w:ascii="Times New Roman CYR" w:cs="Times New Roman CYR" w:hAnsi="Times New Roman CYR"/>
        </w:rPr>
        <w:t>ных слушаний;</w:t>
      </w:r>
    </w:p>
    <w:p w14:paraId="0000013D">
      <w:pPr>
        <w:widowControl w:val="off"/>
        <w:ind w:firstLine="720"/>
        <w:rPr>
          <w:rFonts w:ascii="Times New Roman CYR" w:cs="Times New Roman CYR" w:hAnsi="Times New Roman CYR"/>
        </w:rPr>
      </w:pPr>
      <w:bookmarkEnd w:id="182"/>
      <w:bookmarkStart w:id="183" w:name="sub_501222"/>
      <w:r>
        <w:rPr>
          <w:rFonts w:ascii="Times New Roman CYR" w:cs="Times New Roman CYR" w:hAnsi="Times New Roman CYR"/>
        </w:rPr>
        <w:t>2) наименование проекта, рассмотренного на общественных обсуждениях или публи</w:t>
      </w:r>
      <w:r>
        <w:rPr>
          <w:rFonts w:ascii="Times New Roman CYR" w:cs="Times New Roman CYR" w:hAnsi="Times New Roman CYR"/>
        </w:rPr>
        <w:t>ч</w:t>
      </w:r>
      <w:r>
        <w:rPr>
          <w:rFonts w:ascii="Times New Roman CYR" w:cs="Times New Roman CYR" w:hAnsi="Times New Roman CYR"/>
        </w:rPr>
        <w:t>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ях;</w:t>
      </w:r>
    </w:p>
    <w:p w14:paraId="0000013E">
      <w:pPr>
        <w:widowControl w:val="off"/>
        <w:ind w:firstLine="720"/>
        <w:rPr>
          <w:rFonts w:ascii="Times New Roman CYR" w:cs="Times New Roman CYR" w:hAnsi="Times New Roman CYR"/>
        </w:rPr>
      </w:pPr>
      <w:bookmarkEnd w:id="183"/>
      <w:bookmarkStart w:id="184" w:name="sub_501223"/>
      <w:r>
        <w:rPr>
          <w:rFonts w:ascii="Times New Roman CYR" w:cs="Times New Roman CYR" w:hAnsi="Times New Roman CYR"/>
        </w:rPr>
        <w:t>3) реквизиты протокола общественных обсуждений или публичных слушаний, на осн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вании которого подготовлено заключение о результатах общественных обсуждений или пу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личных слушаний;</w:t>
      </w:r>
    </w:p>
    <w:p w14:paraId="0000013F">
      <w:pPr>
        <w:widowControl w:val="off"/>
        <w:ind w:firstLine="720"/>
        <w:rPr>
          <w:rFonts w:ascii="Times New Roman CYR" w:cs="Times New Roman CYR" w:hAnsi="Times New Roman CYR"/>
        </w:rPr>
      </w:pPr>
      <w:bookmarkEnd w:id="184"/>
      <w:bookmarkStart w:id="185" w:name="sub_501224"/>
      <w:r>
        <w:rPr>
          <w:rFonts w:ascii="Times New Roman CYR" w:cs="Times New Roman CYR" w:hAnsi="Times New Roman CYR"/>
        </w:rPr>
        <w:t>4) содержание внесенных предложений и замечаний участников общественных обсу</w:t>
      </w:r>
      <w:r>
        <w:rPr>
          <w:rFonts w:ascii="Times New Roman CYR" w:cs="Times New Roman CYR" w:hAnsi="Times New Roman CYR"/>
        </w:rPr>
        <w:t>ж</w:t>
      </w:r>
      <w:r>
        <w:rPr>
          <w:rFonts w:ascii="Times New Roman CYR" w:cs="Times New Roman CYR" w:hAnsi="Times New Roman CYR"/>
        </w:rPr>
        <w:t>дений или публичных слушаний с разделением на предложения и замечания граждан, явля</w:t>
      </w:r>
      <w:r>
        <w:rPr>
          <w:rFonts w:ascii="Times New Roman CYR" w:cs="Times New Roman CYR" w:hAnsi="Times New Roman CYR"/>
        </w:rPr>
        <w:t>ю</w:t>
      </w:r>
      <w:r>
        <w:rPr>
          <w:rFonts w:ascii="Times New Roman CYR" w:cs="Times New Roman CYR" w:hAnsi="Times New Roman CYR"/>
        </w:rPr>
        <w:t>щихся участниками общественных обсуждений или публичных слушаний и постоянно прож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вающих на территории, в пределах которой проводятся общественные обсуждения или пу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личные слушания, и предложения и замечания иных участников общественных обсуждений или публичных слушаний.</w:t>
      </w:r>
      <w:r>
        <w:rPr>
          <w:rFonts w:ascii="Times New Roman CYR" w:cs="Times New Roman CYR" w:hAnsi="Times New Roman CYR"/>
        </w:rPr>
        <w:t xml:space="preserve"> В случае внесения несколькими участниками общественных о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суждений или публичных слушаний одинаковых предложений и замечаний допускается обобщение таких предложений и замечаний;</w:t>
      </w:r>
    </w:p>
    <w:p w14:paraId="00000140">
      <w:pPr>
        <w:widowControl w:val="off"/>
        <w:ind w:firstLine="720"/>
        <w:rPr>
          <w:rFonts w:ascii="Times New Roman CYR" w:cs="Times New Roman CYR" w:hAnsi="Times New Roman CYR"/>
        </w:rPr>
      </w:pPr>
      <w:bookmarkEnd w:id="185"/>
      <w:bookmarkStart w:id="186" w:name="sub_501225"/>
      <w:r>
        <w:rPr>
          <w:rFonts w:ascii="Times New Roman CYR" w:cs="Times New Roman CYR" w:hAnsi="Times New Roman CYR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ками общественных обсуждений или публичных слушаний предложений и замечаний и выв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ды по результатам общественных обсуждений или публичных слушаний.</w:t>
      </w:r>
    </w:p>
    <w:p w14:paraId="00000141">
      <w:pPr>
        <w:widowControl w:val="off"/>
        <w:ind w:firstLine="720"/>
        <w:rPr>
          <w:rFonts w:ascii="Times New Roman CYR" w:cs="Times New Roman CYR" w:hAnsi="Times New Roman CYR"/>
        </w:rPr>
      </w:pPr>
      <w:bookmarkEnd w:id="186"/>
      <w:bookmarkStart w:id="187" w:name="sub_501023"/>
      <w:r>
        <w:rPr>
          <w:rFonts w:ascii="Times New Roman CYR" w:cs="Times New Roman CYR" w:hAnsi="Times New Roman CYR"/>
        </w:rPr>
        <w:t>23. Заключение о результатах общественных обсуждений или публичных слушаний подлежит опубликованию в порядке, установленном для официального опубликования мун</w:t>
      </w:r>
      <w:r>
        <w:rPr>
          <w:rFonts w:ascii="Times New Roman CYR" w:cs="Times New Roman CYR" w:hAnsi="Times New Roman CYR"/>
        </w:rPr>
        <w:t>и</w:t>
      </w:r>
      <w:r>
        <w:rPr>
          <w:rFonts w:ascii="Times New Roman CYR" w:cs="Times New Roman CYR" w:hAnsi="Times New Roman CYR"/>
        </w:rPr>
        <w:t>ципальных правовых актов, иной официальной информации, и размещается на официальном сайте и (или) в информационных системах.</w:t>
      </w:r>
    </w:p>
    <w:p w14:paraId="00000142">
      <w:pPr>
        <w:widowControl w:val="off"/>
        <w:ind w:firstLine="720"/>
        <w:rPr>
          <w:rFonts w:ascii="Times New Roman CYR" w:cs="Times New Roman CYR" w:hAnsi="Times New Roman CYR"/>
        </w:rPr>
      </w:pPr>
      <w:bookmarkEnd w:id="187"/>
      <w:bookmarkStart w:id="188" w:name="sub_501024"/>
      <w:r>
        <w:rPr>
          <w:rFonts w:ascii="Times New Roman CYR" w:cs="Times New Roman CYR" w:hAnsi="Times New Roman CYR"/>
        </w:rPr>
        <w:t>24. Уставом муниципального образования и (или) нормативным правовым актом пре</w:t>
      </w:r>
      <w:r>
        <w:rPr>
          <w:rFonts w:ascii="Times New Roman CYR" w:cs="Times New Roman CYR" w:hAnsi="Times New Roman CYR"/>
        </w:rPr>
        <w:t>д</w:t>
      </w:r>
      <w:r>
        <w:rPr>
          <w:rFonts w:ascii="Times New Roman CYR" w:cs="Times New Roman CYR" w:hAnsi="Times New Roman CYR"/>
        </w:rPr>
        <w:t>ставительного органа муниципального образования на основании положений настоящего К</w:t>
      </w:r>
      <w:r>
        <w:rPr>
          <w:rFonts w:ascii="Times New Roman CYR" w:cs="Times New Roman CYR" w:hAnsi="Times New Roman CYR"/>
        </w:rPr>
        <w:t>о</w:t>
      </w:r>
      <w:r>
        <w:rPr>
          <w:rFonts w:ascii="Times New Roman CYR" w:cs="Times New Roman CYR" w:hAnsi="Times New Roman CYR"/>
        </w:rPr>
        <w:t>декса определяются:</w:t>
      </w:r>
    </w:p>
    <w:p w14:paraId="00000143">
      <w:pPr>
        <w:widowControl w:val="off"/>
        <w:ind w:firstLine="720"/>
        <w:rPr>
          <w:rFonts w:ascii="Times New Roman CYR" w:cs="Times New Roman CYR" w:hAnsi="Times New Roman CYR"/>
        </w:rPr>
      </w:pPr>
      <w:bookmarkEnd w:id="188"/>
      <w:bookmarkStart w:id="189" w:name="sub_501241"/>
      <w:r>
        <w:rPr>
          <w:rFonts w:ascii="Times New Roman CYR" w:cs="Times New Roman CYR" w:hAnsi="Times New Roman CYR"/>
        </w:rPr>
        <w:t>1) порядок организации и проведения общественных обсуждений или публичных сл</w:t>
      </w:r>
      <w:r>
        <w:rPr>
          <w:rFonts w:ascii="Times New Roman CYR" w:cs="Times New Roman CYR" w:hAnsi="Times New Roman CYR"/>
        </w:rPr>
        <w:t>у</w:t>
      </w:r>
      <w:r>
        <w:rPr>
          <w:rFonts w:ascii="Times New Roman CYR" w:cs="Times New Roman CYR" w:hAnsi="Times New Roman CYR"/>
        </w:rPr>
        <w:t>шаний по проектам;</w:t>
      </w:r>
    </w:p>
    <w:p w14:paraId="00000144">
      <w:pPr>
        <w:widowControl w:val="off"/>
        <w:ind w:firstLine="720"/>
        <w:rPr>
          <w:rFonts w:ascii="Times New Roman CYR" w:cs="Times New Roman CYR" w:hAnsi="Times New Roman CYR"/>
        </w:rPr>
      </w:pPr>
      <w:bookmarkEnd w:id="189"/>
      <w:bookmarkStart w:id="190" w:name="sub_501242"/>
      <w:r>
        <w:rPr>
          <w:rFonts w:ascii="Times New Roman CYR" w:cs="Times New Roman CYR" w:hAnsi="Times New Roman CYR"/>
        </w:rPr>
        <w:t>2) организатор общественных обсуждений или публичных слушаний;</w:t>
      </w:r>
    </w:p>
    <w:p w14:paraId="00000145">
      <w:pPr>
        <w:widowControl w:val="off"/>
        <w:ind w:firstLine="720"/>
        <w:rPr>
          <w:rFonts w:ascii="Times New Roman CYR" w:cs="Times New Roman CYR" w:hAnsi="Times New Roman CYR"/>
        </w:rPr>
      </w:pPr>
      <w:bookmarkEnd w:id="190"/>
      <w:bookmarkStart w:id="191" w:name="sub_501243"/>
      <w:r>
        <w:rPr>
          <w:rFonts w:ascii="Times New Roman CYR" w:cs="Times New Roman CYR" w:hAnsi="Times New Roman CYR"/>
        </w:rPr>
        <w:t>3) срок проведения общественных обсуждений или публичных слушаний;</w:t>
      </w:r>
    </w:p>
    <w:p w14:paraId="00000146">
      <w:pPr>
        <w:widowControl w:val="off"/>
        <w:tabs>
          <w:tab w:val="left" w:pos="7680"/>
        </w:tabs>
        <w:ind w:firstLine="720"/>
        <w:rPr>
          <w:rFonts w:ascii="Times New Roman CYR" w:cs="Times New Roman CYR" w:hAnsi="Times New Roman CYR"/>
        </w:rPr>
      </w:pPr>
      <w:bookmarkEnd w:id="191"/>
      <w:bookmarkStart w:id="192" w:name="sub_501244"/>
      <w:r>
        <w:rPr>
          <w:rFonts w:ascii="Times New Roman CYR" w:cs="Times New Roman CYR" w:hAnsi="Times New Roman CYR"/>
        </w:rPr>
        <w:t>4) официальный сайт и (или) информационные системы;</w:t>
      </w:r>
      <w:r>
        <w:rPr>
          <w:rFonts w:ascii="Times New Roman CYR" w:cs="Times New Roman CYR" w:hAnsi="Times New Roman CYR"/>
        </w:rPr>
        <w:tab/>
      </w:r>
    </w:p>
    <w:p w14:paraId="00000147">
      <w:pPr>
        <w:widowControl w:val="off"/>
        <w:ind w:firstLine="720"/>
        <w:rPr>
          <w:rFonts w:ascii="Times New Roman CYR" w:cs="Times New Roman CYR" w:hAnsi="Times New Roman CYR"/>
        </w:rPr>
      </w:pPr>
      <w:bookmarkEnd w:id="192"/>
      <w:bookmarkStart w:id="193" w:name="sub_501245"/>
      <w:r>
        <w:rPr>
          <w:rFonts w:ascii="Times New Roman CYR" w:cs="Times New Roman CYR" w:hAnsi="Times New Roman CYR"/>
        </w:rPr>
        <w:t>5) требования к информационным стендам, на которых размещаются оповещения о начале общественных обсуждений или публичных слушаний;</w:t>
      </w:r>
    </w:p>
    <w:p w14:paraId="00000148">
      <w:pPr>
        <w:widowControl w:val="off"/>
        <w:ind w:firstLine="720"/>
        <w:rPr>
          <w:rFonts w:ascii="Times New Roman CYR" w:cs="Times New Roman CYR" w:hAnsi="Times New Roman CYR"/>
        </w:rPr>
      </w:pPr>
      <w:bookmarkEnd w:id="193"/>
      <w:bookmarkStart w:id="194" w:name="sub_501246"/>
      <w:r>
        <w:rPr>
          <w:rFonts w:ascii="Times New Roman CYR" w:cs="Times New Roman CYR" w:hAnsi="Times New Roman CYR"/>
        </w:rPr>
        <w:t>6) форма оповещения о начале общественных обсуждений или публичных слушаний, порядок подготовки и форма протокола общественных обсуждений или публичных слушаний, порядок подготовки и форма заключения о результатах общественных обсуждений или пу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личных слушаний;</w:t>
      </w:r>
    </w:p>
    <w:p w14:paraId="00000149">
      <w:pPr>
        <w:widowControl w:val="off"/>
        <w:ind w:firstLine="720"/>
        <w:rPr>
          <w:rFonts w:ascii="Times New Roman CYR" w:cs="Times New Roman CYR" w:hAnsi="Times New Roman CYR"/>
        </w:rPr>
      </w:pPr>
      <w:bookmarkEnd w:id="194"/>
      <w:bookmarkStart w:id="195" w:name="sub_501247"/>
      <w:r>
        <w:rPr>
          <w:rFonts w:ascii="Times New Roman CYR" w:cs="Times New Roman CYR" w:hAnsi="Times New Roman CYR"/>
        </w:rPr>
        <w:t>7) порядок проведения экспозиции проекта, подлежащего рассмотрению на общ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ственных обсуждениях или публичных слушаниях, а также порядок консультирования пос</w:t>
      </w:r>
      <w:r>
        <w:rPr>
          <w:rFonts w:ascii="Times New Roman CYR" w:cs="Times New Roman CYR" w:hAnsi="Times New Roman CYR"/>
        </w:rPr>
        <w:t>е</w:t>
      </w:r>
      <w:r>
        <w:rPr>
          <w:rFonts w:ascii="Times New Roman CYR" w:cs="Times New Roman CYR" w:hAnsi="Times New Roman CYR"/>
        </w:rPr>
        <w:t>тителей экспозиции проекта, подлежащего рассмотрению на общественных обсуждениях или публичных слушаниях.</w:t>
      </w:r>
    </w:p>
    <w:p w14:paraId="0000014A">
      <w:pPr>
        <w:widowControl w:val="off"/>
        <w:ind w:firstLine="720"/>
        <w:rPr>
          <w:rFonts w:ascii="Times New Roman CYR" w:cs="Times New Roman CYR" w:hAnsi="Times New Roman CYR"/>
        </w:rPr>
      </w:pPr>
      <w:bookmarkEnd w:id="195"/>
      <w:r>
        <w:rPr>
          <w:rFonts w:ascii="Times New Roman CYR" w:cs="Times New Roman CYR" w:hAnsi="Times New Roman CYR"/>
        </w:rPr>
        <w:t>25. Общественные обсуждения или публичные слушания и (или) общественные обсу</w:t>
      </w:r>
      <w:r>
        <w:rPr>
          <w:rFonts w:ascii="Times New Roman CYR" w:cs="Times New Roman CYR" w:hAnsi="Times New Roman CYR"/>
        </w:rPr>
        <w:t>ж</w:t>
      </w:r>
      <w:r>
        <w:rPr>
          <w:rFonts w:ascii="Times New Roman CYR" w:cs="Times New Roman CYR" w:hAnsi="Times New Roman CYR"/>
        </w:rPr>
        <w:t>дения по проектам правил землепользования и застройки и по проектам, предусматривающим внесение изменений в правила, проводятся в каждом населенном пункте муниципального о</w:t>
      </w:r>
      <w:r>
        <w:rPr>
          <w:rFonts w:ascii="Times New Roman CYR" w:cs="Times New Roman CYR" w:hAnsi="Times New Roman CYR"/>
        </w:rPr>
        <w:t>б</w:t>
      </w:r>
      <w:r>
        <w:rPr>
          <w:rFonts w:ascii="Times New Roman CYR" w:cs="Times New Roman CYR" w:hAnsi="Times New Roman CYR"/>
        </w:rPr>
        <w:t>разования.</w:t>
      </w:r>
    </w:p>
    <w:p w14:paraId="0000014B">
      <w:pPr>
        <w:widowControl w:val="off"/>
        <w:ind w:firstLine="720"/>
        <w:rPr>
          <w:rFonts w:ascii="Times New Roman CYR" w:cs="Times New Roman CYR" w:hAnsi="Times New Roman CYR"/>
        </w:rPr>
      </w:pPr>
      <w:r>
        <w:rPr>
          <w:rFonts w:ascii="Times New Roman CYR" w:cs="Times New Roman CYR" w:hAnsi="Times New Roman CYR"/>
        </w:rPr>
        <w:t>26.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</w:t>
      </w:r>
      <w:r>
        <w:rPr>
          <w:rFonts w:ascii="Times New Roman CYR" w:cs="Times New Roman CYR" w:hAnsi="Times New Roman CYR"/>
        </w:rPr>
        <w:t>з</w:t>
      </w:r>
      <w:r>
        <w:rPr>
          <w:rFonts w:ascii="Times New Roman CYR" w:cs="Times New Roman CYR" w:hAnsi="Times New Roman CYR"/>
        </w:rPr>
        <w:t>можностями для участия в общественных обсуждениях или публичных слушаниях территория населенного пункта может быть разделена на части.</w:t>
      </w:r>
    </w:p>
    <w:p w14:paraId="0000014C">
      <w:pPr>
        <w:widowControl w:val="off"/>
        <w:ind w:firstLine="720"/>
        <w:rPr/>
      </w:pPr>
      <w:r>
        <w:t>27. В случае</w:t>
      </w:r>
      <w:r>
        <w:t>,</w:t>
      </w:r>
      <w:r>
        <w:t xml:space="preserve"> если для реализации решения о комплексном развитии территории треб</w:t>
      </w:r>
      <w:r>
        <w:t>у</w:t>
      </w:r>
      <w:r>
        <w:t>ется внесен</w:t>
      </w:r>
      <w:r>
        <w:t>ие изменений в генеральный план</w:t>
      </w:r>
      <w:r>
        <w:t>, по решению главы местной администрации д</w:t>
      </w:r>
      <w:r>
        <w:t>о</w:t>
      </w:r>
      <w:r>
        <w:t>пускается одновременное проведение публичных слушаний и (или) общественных обсужд</w:t>
      </w:r>
      <w:r>
        <w:t>е</w:t>
      </w:r>
      <w:r>
        <w:t>ний по проектам, предусматривающим внесение изменений в генеральный план, и по проекту документации по планировке территории, подлежащей комплексному развитию.</w:t>
      </w:r>
    </w:p>
    <w:p w14:paraId="0000014D">
      <w:pPr>
        <w:pStyle w:val="Heading2"/>
        <w:spacing w:before="240"/>
        <w:rPr>
          <w:rFonts w:eastAsia="GOST Type AU"/>
          <w:lang w:eastAsia="ar-SA"/>
        </w:rPr>
      </w:pPr>
      <w:bookmarkStart w:id="196" w:name="_Toc89422070"/>
      <w:bookmarkStart w:id="197" w:name="_Toc159317554"/>
      <w:r>
        <w:rPr>
          <w:rFonts w:eastAsia="GOST Type AU"/>
          <w:lang w:eastAsia="ar-SA"/>
        </w:rPr>
        <w:t xml:space="preserve">Глава 6. </w:t>
      </w:r>
      <w:bookmarkEnd w:id="196"/>
      <w:r>
        <w:rPr>
          <w:rFonts w:eastAsia="GOST Type AU"/>
          <w:lang w:eastAsia="ar-SA"/>
        </w:rPr>
        <w:t>Положение о внесении изменений в правила землепользования и застройки</w:t>
      </w:r>
      <w:bookmarkEnd w:id="197"/>
    </w:p>
    <w:p w14:paraId="0000014E">
      <w:pPr>
        <w:pStyle w:val="Heading3"/>
        <w:rPr/>
      </w:pPr>
      <w:bookmarkStart w:id="198" w:name="_Toc180470356"/>
      <w:bookmarkStart w:id="199" w:name="_Toc200537110"/>
      <w:bookmarkStart w:id="200" w:name="_Toc208205281"/>
      <w:bookmarkStart w:id="201" w:name="_Toc427840791"/>
      <w:bookmarkStart w:id="202" w:name="_Toc427840973"/>
      <w:bookmarkStart w:id="203" w:name="_Toc465786394"/>
      <w:bookmarkStart w:id="204" w:name="_Toc89422071"/>
      <w:bookmarkStart w:id="205" w:name="_Toc159317555"/>
      <w:r>
        <w:t xml:space="preserve">Статья 16. </w:t>
      </w:r>
      <w:bookmarkEnd w:id="198"/>
      <w:bookmarkEnd w:id="199"/>
      <w:bookmarkEnd w:id="200"/>
      <w:bookmarkEnd w:id="201"/>
      <w:bookmarkEnd w:id="202"/>
      <w:bookmarkEnd w:id="203"/>
      <w:bookmarkEnd w:id="204"/>
      <w:r>
        <w:t>Порядок внесения  изменений в правила землепользования и з</w:t>
      </w:r>
      <w:r>
        <w:t>а</w:t>
      </w:r>
      <w:r>
        <w:t>стройки</w:t>
      </w:r>
      <w:bookmarkEnd w:id="205"/>
    </w:p>
    <w:p w14:paraId="0000014F">
      <w:r>
        <w:t>1. Изменениями настоящих Правил считаются любые изменения текста Правил, Карты градостроительного зонирования</w:t>
      </w:r>
      <w:r>
        <w:t xml:space="preserve"> </w:t>
      </w:r>
      <w:r>
        <w:t>Берсеневского</w:t>
      </w:r>
      <w:r>
        <w:t xml:space="preserve"> сельского поселения</w:t>
      </w:r>
      <w:r>
        <w:t xml:space="preserve"> </w:t>
      </w:r>
      <w:r>
        <w:t>Лямбирского</w:t>
      </w:r>
      <w:r>
        <w:t xml:space="preserve"> муниц</w:t>
      </w:r>
      <w:r>
        <w:t>и</w:t>
      </w:r>
      <w:r>
        <w:t>пального района</w:t>
      </w:r>
      <w:r>
        <w:t>, либо градостроительных регламентов.</w:t>
      </w:r>
    </w:p>
    <w:p w14:paraId="00000150">
      <w:r>
        <w:t>2. Основаниями для рассмотрения Администрацией вопроса о внесении изменений в настоящие Правила являются:</w:t>
      </w:r>
    </w:p>
    <w:p w14:paraId="00000151">
      <w:r>
        <w:t>1) несоответствие правил землепользования и застройки генеральному плану посел</w:t>
      </w:r>
      <w:r>
        <w:t>е</w:t>
      </w:r>
      <w:r>
        <w:t>ния, генеральному плану муниципального округа, генеральному плану городского округа, схеме территориального планирования муниципального района, возникшее в результате вн</w:t>
      </w:r>
      <w:r>
        <w:t>е</w:t>
      </w:r>
      <w:r>
        <w:t>сения в такие генеральные планы или схему территориального планирования муниципального района изменений;</w:t>
      </w:r>
    </w:p>
    <w:p w14:paraId="00000152">
      <w:r>
        <w:t>1.1) поступление от уполномоченного Правительством Российской Федерации фед</w:t>
      </w:r>
      <w:r>
        <w:t>е</w:t>
      </w:r>
      <w:r>
        <w:t>рального органа исполнительной власти обязательного для исполнения в сроки, установле</w:t>
      </w:r>
      <w:r>
        <w:t>н</w:t>
      </w:r>
      <w:r>
        <w:t>ные законодательством Российской Федерации, предписания об устранении нарушений огр</w:t>
      </w:r>
      <w:r>
        <w:t>а</w:t>
      </w:r>
      <w:r>
        <w:t xml:space="preserve">ничений использования объектов недвижимости, установленных на </w:t>
      </w:r>
      <w:r>
        <w:t>приаэродромной</w:t>
      </w:r>
      <w:r>
        <w:t xml:space="preserve"> террит</w:t>
      </w:r>
      <w:r>
        <w:t>о</w:t>
      </w:r>
      <w:r>
        <w:t>рии, которые допущены в правилах землепользования и застройки поселения, муниципальн</w:t>
      </w:r>
      <w:r>
        <w:t>о</w:t>
      </w:r>
      <w:r>
        <w:t>го округа, городского округа, межселенной территории;</w:t>
      </w:r>
    </w:p>
    <w:p w14:paraId="00000153">
      <w:r>
        <w:t>2) поступление предложений об изменении границ территориальных зон, изменении градостроительных регламентов;</w:t>
      </w:r>
    </w:p>
    <w:p w14:paraId="00000154">
      <w:r>
        <w:t xml:space="preserve">3) </w:t>
      </w:r>
      <w:r>
        <w:t>несоответствие сведений о местоположении границ зон с особыми условиями и</w:t>
      </w:r>
      <w:r>
        <w:t>с</w:t>
      </w:r>
      <w:r>
        <w:t>пользования территорий, территорий объектов культурного наследия, отображенных на карте градостроительного зонирования, содержащемуся в Едином государственном реестре недв</w:t>
      </w:r>
      <w:r>
        <w:t>и</w:t>
      </w:r>
      <w:r>
        <w:t>жимости описанию местоположения границ указанных зон, территорий;</w:t>
      </w:r>
    </w:p>
    <w:p w14:paraId="00000155">
      <w:r>
        <w:t>3.1) несоответствие сведений о местоположении границ населенных пунктов (в том числе в случае выявления пересечения границ населенного пункта (населенных пунктов) с границами земельных участков), содержащихся в документах территориального планиров</w:t>
      </w:r>
      <w:r>
        <w:t>а</w:t>
      </w:r>
      <w:r>
        <w:t>ния, содержащемуся в Едином государственном реестре недвижимости описанию местопол</w:t>
      </w:r>
      <w:r>
        <w:t>о</w:t>
      </w:r>
      <w:r>
        <w:t>жения границ указанных населенных пунктов, которое было изменено в соответствии с фед</w:t>
      </w:r>
      <w:r>
        <w:t>е</w:t>
      </w:r>
      <w:r>
        <w:t>ральным законом при внесении в Единый государственный реестр недвижимости сведений о границах населенных</w:t>
      </w:r>
      <w:r>
        <w:t xml:space="preserve"> пунктов;</w:t>
      </w:r>
    </w:p>
    <w:p w14:paraId="00000156">
      <w:bookmarkStart w:id="206" w:name="dst2457"/>
      <w:bookmarkEnd w:id="206"/>
      <w:r>
        <w:t>4</w:t>
      </w:r>
      <w:r>
        <w:t xml:space="preserve">) </w:t>
      </w:r>
      <w:r>
        <w:t>несоответствие установленных градостроительным регламентом ограничений и</w:t>
      </w:r>
      <w:r>
        <w:t>с</w:t>
      </w:r>
      <w:r>
        <w:t>пользования земельных участков и объектов капитального строительства, расположенных полностью или частично в границах зон с особыми условиями использования территорий, территорий достопримечательных мест федерального, регионального и местного значения, содержащимся в Едином государственном реестре недвижимости ограничениям использов</w:t>
      </w:r>
      <w:r>
        <w:t>а</w:t>
      </w:r>
      <w:r>
        <w:t>ния объектов недвижимости в пределах таких зон, территорий;</w:t>
      </w:r>
    </w:p>
    <w:p w14:paraId="00000157">
      <w:bookmarkStart w:id="207" w:name="dst2458"/>
      <w:bookmarkEnd w:id="207"/>
      <w:r>
        <w:t>5</w:t>
      </w:r>
      <w:r>
        <w:t>) установление, изменение, прекращение существования зоны с особыми условиями использования территории, установление, изменение границ территории объекта культурного наследия, территории исторического поселения федерального значения, территории историч</w:t>
      </w:r>
      <w:r>
        <w:t>е</w:t>
      </w:r>
      <w:r>
        <w:t>ского поселения регионального значения.</w:t>
      </w:r>
    </w:p>
    <w:p w14:paraId="00000158">
      <w:pPr>
        <w:rPr>
          <w:color w:val="000000"/>
        </w:rPr>
      </w:pPr>
      <w:r>
        <w:rPr>
          <w:color w:val="000000"/>
        </w:rPr>
        <w:t>6) принятие решения о комплексном развитии территории.</w:t>
      </w:r>
    </w:p>
    <w:p w14:paraId="00000159">
      <w:r>
        <w:t>7) обнаружение мест захоронений погибших при защите Отечества, расположенных в границах муниципальных образований.</w:t>
      </w:r>
    </w:p>
    <w:p w14:paraId="0000015A">
      <w:r>
        <w:t>8) несоответствие сведений о границах территориальных зон, содержащихся в правилах землепользования и застройки, содержащемуся в Едином государственном реестре недвиж</w:t>
      </w:r>
      <w:r>
        <w:t>и</w:t>
      </w:r>
      <w:r>
        <w:t>мости описанию местоположения границ указанных территориальных зон, которое было и</w:t>
      </w:r>
      <w:r>
        <w:t>з</w:t>
      </w:r>
      <w:r>
        <w:t>менено в соответствии с федеральным законом при внесении в Единый государственный р</w:t>
      </w:r>
      <w:r>
        <w:t>е</w:t>
      </w:r>
      <w:r>
        <w:t>естр недвижимости сведений о границах территориальных зон.</w:t>
      </w:r>
    </w:p>
    <w:p w14:paraId="0000015B">
      <w:r>
        <w:t xml:space="preserve">3. Предложения о внесении изменений в настоящие Правила направляются </w:t>
      </w:r>
      <w:r>
        <w:rPr>
          <w:color w:val="000000"/>
        </w:rPr>
        <w:t>в коми</w:t>
      </w:r>
      <w:r>
        <w:rPr>
          <w:color w:val="000000"/>
        </w:rPr>
        <w:t>с</w:t>
      </w:r>
      <w:r>
        <w:rPr>
          <w:color w:val="000000"/>
        </w:rPr>
        <w:t>сию:</w:t>
      </w:r>
    </w:p>
    <w:p w14:paraId="0000015C">
      <w:r>
        <w:t>1) федеральными органами исполнительной власти в случаях, если настоящие Правила могут воспрепятствовать функционированию, размещению объектов капитального строител</w:t>
      </w:r>
      <w:r>
        <w:t>ь</w:t>
      </w:r>
      <w:r>
        <w:t>ства федерального значения;</w:t>
      </w:r>
    </w:p>
    <w:p w14:paraId="0000015D">
      <w:r>
        <w:t xml:space="preserve">2) органами исполнительной власти </w:t>
      </w:r>
      <w:r>
        <w:t xml:space="preserve">Республики Мордовия </w:t>
      </w:r>
      <w:r>
        <w:t>в случаях, если настоящие Правила могут воспрепятствовать функционированию, размещению объектов капитального строительства регионального значения;</w:t>
      </w:r>
    </w:p>
    <w:p w14:paraId="0000015E">
      <w:r>
        <w:t>3) органами местного самоуправления муниципального района в случаях, если правила землепользования и застройки могут воспрепятствовать функционированию, размещению объектов капитального строительства местного значения;</w:t>
      </w:r>
    </w:p>
    <w:p w14:paraId="0000015F">
      <w:r>
        <w:t xml:space="preserve">4) </w:t>
      </w:r>
      <w:r>
        <w:t>органами местного самоуправления в случаях, если необходимо совершенствовать порядок регулирования землепользования и застройки на соответствующих территории пос</w:t>
      </w:r>
      <w:r>
        <w:t>е</w:t>
      </w:r>
      <w:r>
        <w:t>ления, территории муниципального округа, территории городского округа, межселенных те</w:t>
      </w:r>
      <w:r>
        <w:t>р</w:t>
      </w:r>
      <w:r>
        <w:t xml:space="preserve">риториях; </w:t>
      </w:r>
    </w:p>
    <w:p w14:paraId="00000160">
      <w:r>
        <w:t>4.1) органами местного самоуправления в случаях обнаружения мест захоронений п</w:t>
      </w:r>
      <w:r>
        <w:t>о</w:t>
      </w:r>
      <w:r>
        <w:t>гибших при защите Отечества, расположенных в границах муниципальных образований;</w:t>
      </w:r>
    </w:p>
    <w:p w14:paraId="00000161">
      <w:r>
        <w:t xml:space="preserve">5) физическими или юридическими лицами в инициативном порядке либо в случаях, если в результате применения настоящих </w:t>
      </w:r>
      <w:r>
        <w:t>Правил</w:t>
      </w:r>
      <w:r>
        <w:t xml:space="preserve"> земельные участки и объекты капитального строительства не используются эффективно, причиняется вред их правообладателям, сниж</w:t>
      </w:r>
      <w:r>
        <w:t>а</w:t>
      </w:r>
      <w:r>
        <w:t>ется стоимость земельных участков и объектов капитального строительства, не реализуются права и законные интересы граждан и их объединений.</w:t>
      </w:r>
    </w:p>
    <w:p w14:paraId="00000162">
      <w:pPr>
        <w:rPr>
          <w:color w:val="000000"/>
        </w:rPr>
      </w:pPr>
      <w:r>
        <w:rPr>
          <w:color w:val="000000"/>
        </w:rPr>
        <w:t xml:space="preserve">6) </w:t>
      </w:r>
      <w:r>
        <w:rPr>
          <w:color w:val="000000"/>
        </w:rPr>
        <w:t>уполномоченным федеральным органом исполнительной власти, оператором ко</w:t>
      </w:r>
      <w:r>
        <w:rPr>
          <w:color w:val="000000"/>
        </w:rPr>
        <w:t>м</w:t>
      </w:r>
      <w:r>
        <w:rPr>
          <w:color w:val="000000"/>
        </w:rPr>
        <w:t>плексного развития территории, лицом, с которым заключен договор о комплексном развитии территории, в целях реализации решения о комплексном развитии территории, принятого Правительством Российской Федерации;</w:t>
      </w:r>
    </w:p>
    <w:p w14:paraId="00000163">
      <w:pPr>
        <w:rPr>
          <w:color w:val="000000"/>
        </w:rPr>
      </w:pPr>
      <w:r>
        <w:rPr>
          <w:color w:val="000000"/>
        </w:rPr>
        <w:t xml:space="preserve">7) </w:t>
      </w:r>
      <w:r>
        <w:rPr>
          <w:color w:val="000000"/>
        </w:rPr>
        <w:t>высшим исполнительным органом субъекта Российской Федерации, органом мес</w:t>
      </w:r>
      <w:r>
        <w:rPr>
          <w:color w:val="000000"/>
        </w:rPr>
        <w:t>т</w:t>
      </w:r>
      <w:r>
        <w:rPr>
          <w:color w:val="000000"/>
        </w:rPr>
        <w:t>ного самоуправления, оператором комплексного развития территории, лицом, с которым з</w:t>
      </w:r>
      <w:r>
        <w:rPr>
          <w:color w:val="000000"/>
        </w:rPr>
        <w:t>а</w:t>
      </w:r>
      <w:r>
        <w:rPr>
          <w:color w:val="000000"/>
        </w:rPr>
        <w:t>ключен договор о комплексном развитии территории, в целях реализации решения о ко</w:t>
      </w:r>
      <w:r>
        <w:rPr>
          <w:color w:val="000000"/>
        </w:rPr>
        <w:t>м</w:t>
      </w:r>
      <w:r>
        <w:rPr>
          <w:color w:val="000000"/>
        </w:rPr>
        <w:t>плексном развитии территории, принятого высшим исполнительным органом субъекта Ро</w:t>
      </w:r>
      <w:r>
        <w:rPr>
          <w:color w:val="000000"/>
        </w:rPr>
        <w:t>с</w:t>
      </w:r>
      <w:r>
        <w:rPr>
          <w:color w:val="000000"/>
        </w:rPr>
        <w:t>сийской Федерации, главой местной администрации, а также в целях комплексного развития территории</w:t>
      </w:r>
      <w:r>
        <w:rPr>
          <w:color w:val="000000"/>
        </w:rPr>
        <w:t xml:space="preserve"> по инициативе правообладателей.</w:t>
      </w:r>
    </w:p>
    <w:p w14:paraId="00000164">
      <w:pPr>
        <w:rPr>
          <w:color w:val="000000"/>
        </w:rPr>
      </w:pPr>
      <w:r>
        <w:rPr>
          <w:color w:val="000000"/>
        </w:rPr>
        <w:t>3.1. В случае</w:t>
      </w:r>
      <w:r>
        <w:rPr>
          <w:color w:val="000000"/>
        </w:rPr>
        <w:t>,</w:t>
      </w:r>
      <w:r>
        <w:rPr>
          <w:color w:val="000000"/>
        </w:rPr>
        <w:t xml:space="preserve"> если правилами землепользования и застройки не обеспечена возмо</w:t>
      </w:r>
      <w:r>
        <w:rPr>
          <w:color w:val="000000"/>
        </w:rPr>
        <w:t>ж</w:t>
      </w:r>
      <w:r>
        <w:rPr>
          <w:color w:val="000000"/>
        </w:rPr>
        <w:t>ность размещения на территориях поселения, городского округа предусмотренных докуме</w:t>
      </w:r>
      <w:r>
        <w:rPr>
          <w:color w:val="000000"/>
        </w:rPr>
        <w:t>н</w:t>
      </w:r>
      <w:r>
        <w:rPr>
          <w:color w:val="000000"/>
        </w:rPr>
        <w:t>тами территориального планирования объектов федерального значения, объектов регионал</w:t>
      </w:r>
      <w:r>
        <w:rPr>
          <w:color w:val="000000"/>
        </w:rPr>
        <w:t>ь</w:t>
      </w:r>
      <w:r>
        <w:rPr>
          <w:color w:val="000000"/>
        </w:rPr>
        <w:t>ного значения, объектов местного значения муниципального района (за исключением лине</w:t>
      </w:r>
      <w:r>
        <w:rPr>
          <w:color w:val="000000"/>
        </w:rPr>
        <w:t>й</w:t>
      </w:r>
      <w:r>
        <w:rPr>
          <w:color w:val="000000"/>
        </w:rPr>
        <w:t>ных объектов), уполномоченный федеральный орган исполнительной власти, уполномоче</w:t>
      </w:r>
      <w:r>
        <w:rPr>
          <w:color w:val="000000"/>
        </w:rPr>
        <w:t>н</w:t>
      </w:r>
      <w:r>
        <w:rPr>
          <w:color w:val="000000"/>
        </w:rPr>
        <w:t xml:space="preserve">ный орган исполнительной власти субъекта Российской Федерации, уполномоченный орган местного самоуправления муниципального района направляют главе </w:t>
      </w:r>
      <w:r>
        <w:t>администрации сельск</w:t>
      </w:r>
      <w:r>
        <w:t>о</w:t>
      </w:r>
      <w:r>
        <w:t>го поселения</w:t>
      </w:r>
      <w:r>
        <w:rPr>
          <w:color w:val="000000"/>
        </w:rPr>
        <w:t xml:space="preserve"> о внесении изменений в правила землепользования и застройки в целях обесп</w:t>
      </w:r>
      <w:r>
        <w:rPr>
          <w:color w:val="000000"/>
        </w:rPr>
        <w:t>е</w:t>
      </w:r>
      <w:r>
        <w:rPr>
          <w:color w:val="000000"/>
        </w:rPr>
        <w:t>чения размещения указанных объектов.</w:t>
      </w:r>
    </w:p>
    <w:p w14:paraId="00000165">
      <w:pPr>
        <w:rPr>
          <w:color w:val="000000"/>
        </w:rPr>
      </w:pPr>
      <w:r>
        <w:rPr>
          <w:color w:val="000000"/>
        </w:rPr>
        <w:t>3.2. В случае, предусмотренном </w:t>
      </w:r>
      <w:r>
        <w:fldChar w:fldCharType="begin"/>
      </w:r>
      <w:r>
        <w:instrText xml:space="preserve">HYPERLINK "http://ivo.garant.ru/" \l "/document/12138258/entry/3331" </w:instrText>
      </w:r>
      <w:r>
        <w:fldChar w:fldCharType="separate"/>
      </w:r>
      <w:r>
        <w:rPr>
          <w:color w:val="000000"/>
        </w:rPr>
        <w:t>частью 3.1</w:t>
      </w:r>
      <w:r>
        <w:fldChar w:fldCharType="end"/>
      </w:r>
      <w:r>
        <w:rPr>
          <w:color w:val="000000"/>
        </w:rPr>
        <w:t xml:space="preserve"> настоящей статьи, глава </w:t>
      </w:r>
      <w:r>
        <w:t>администрации сельского поселения</w:t>
      </w:r>
      <w:r>
        <w:rPr>
          <w:color w:val="000000"/>
        </w:rPr>
        <w:t xml:space="preserve"> </w:t>
      </w:r>
      <w:r>
        <w:rPr>
          <w:color w:val="000000"/>
        </w:rPr>
        <w:t>обеспечива</w:t>
      </w:r>
      <w:r>
        <w:rPr>
          <w:color w:val="000000"/>
        </w:rPr>
        <w:t>е</w:t>
      </w:r>
      <w:r>
        <w:rPr>
          <w:color w:val="000000"/>
        </w:rPr>
        <w:t>т внесение изменений в правила землепользования и з</w:t>
      </w:r>
      <w:r>
        <w:rPr>
          <w:color w:val="000000"/>
        </w:rPr>
        <w:t>а</w:t>
      </w:r>
      <w:r>
        <w:rPr>
          <w:color w:val="000000"/>
        </w:rPr>
        <w:t>стройки в течение тридцати дней со дня получения указанного в части 3.1 настоящей статьи требования.</w:t>
      </w:r>
    </w:p>
    <w:p w14:paraId="00000166">
      <w:pPr>
        <w:rPr>
          <w:color w:val="000000"/>
        </w:rPr>
      </w:pPr>
      <w:r>
        <w:fldChar w:fldCharType="begin"/>
      </w:r>
      <w:r>
        <w:instrText xml:space="preserve">HYPERLINK "http://ivo.garant.ru/" \l "/document/72005510/entry/26044" </w:instrText>
      </w:r>
      <w:r>
        <w:fldChar w:fldCharType="separate"/>
      </w:r>
      <w:r>
        <w:rPr>
          <w:color w:val="000000"/>
        </w:rPr>
        <w:t>3.3.</w:t>
      </w:r>
      <w:r>
        <w:fldChar w:fldCharType="end"/>
      </w:r>
      <w:r>
        <w:rPr>
          <w:color w:val="000000"/>
        </w:rPr>
        <w:t> </w:t>
      </w:r>
      <w:r>
        <w:rPr>
          <w:color w:val="000000"/>
        </w:rPr>
        <w:t>В целях внесения изменений в правила землепользования и застройки в случаях, предусмотренных </w:t>
      </w:r>
      <w:r>
        <w:fldChar w:fldCharType="begin"/>
      </w:r>
      <w:r>
        <w:instrText xml:space="preserve">HYPERLINK "http://ivo.garant.ru/" \l "/document/12138258/entry/33023" </w:instrText>
      </w:r>
      <w:r>
        <w:fldChar w:fldCharType="separate"/>
      </w:r>
      <w:r>
        <w:rPr>
          <w:color w:val="000000"/>
        </w:rPr>
        <w:t>пунктами 3 - 6 части 2</w:t>
      </w:r>
      <w:r>
        <w:fldChar w:fldCharType="end"/>
      </w:r>
      <w:r>
        <w:rPr>
          <w:color w:val="000000"/>
        </w:rPr>
        <w:t> и </w:t>
      </w:r>
      <w:r>
        <w:fldChar w:fldCharType="begin"/>
      </w:r>
      <w:r>
        <w:instrText xml:space="preserve">HYPERLINK "http://ivo.garant.ru/" \l "/document/12138258/entry/3331" </w:instrText>
      </w:r>
      <w:r>
        <w:fldChar w:fldCharType="separate"/>
      </w:r>
      <w:r>
        <w:rPr>
          <w:color w:val="000000"/>
        </w:rPr>
        <w:t>частью 3.1</w:t>
      </w:r>
      <w:r>
        <w:fldChar w:fldCharType="end"/>
      </w:r>
      <w:r>
        <w:rPr>
          <w:color w:val="000000"/>
        </w:rPr>
        <w:t> настоящей статьи, а также в случае о</w:t>
      </w:r>
      <w:r>
        <w:rPr>
          <w:color w:val="000000"/>
        </w:rPr>
        <w:t>д</w:t>
      </w:r>
      <w:r>
        <w:rPr>
          <w:color w:val="000000"/>
        </w:rPr>
        <w:t>нократного изменения видов разрешенного использования, установленных градостроител</w:t>
      </w:r>
      <w:r>
        <w:rPr>
          <w:color w:val="000000"/>
        </w:rPr>
        <w:t>ь</w:t>
      </w:r>
      <w:r>
        <w:rPr>
          <w:color w:val="000000"/>
        </w:rPr>
        <w:t>ным регламентом для конкретной территориальной зоны, без изменения ранее установленных предельных параметров разрешенного строительства, реконструкции объектов капитального строительства и (или) в случае однократного изменения одного или нескольких предельных</w:t>
      </w:r>
      <w:r>
        <w:rPr>
          <w:color w:val="000000"/>
        </w:rPr>
        <w:t xml:space="preserve"> </w:t>
      </w:r>
      <w:r>
        <w:rPr>
          <w:color w:val="000000"/>
        </w:rPr>
        <w:t>параметров разрешенного строительства, реконструкции объектов капитального строител</w:t>
      </w:r>
      <w:r>
        <w:rPr>
          <w:color w:val="000000"/>
        </w:rPr>
        <w:t>ь</w:t>
      </w:r>
      <w:r>
        <w:rPr>
          <w:color w:val="000000"/>
        </w:rPr>
        <w:t>ства, установленных градостроительным регламентом для конкретной территориальной зоны, не более чем на десять процентов проведение общественных обсуждений или публичных слушаний,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 </w:t>
      </w:r>
      <w:r>
        <w:fldChar w:fldCharType="begin"/>
      </w:r>
      <w:r>
        <w:instrText xml:space="preserve">HYPERLINK "http://ivo.garant.ru/" \l "/document/12138258/entry/3304" </w:instrText>
      </w:r>
      <w:r>
        <w:fldChar w:fldCharType="separate"/>
      </w:r>
      <w:r>
        <w:rPr>
          <w:color w:val="000000"/>
        </w:rPr>
        <w:t>частью 4</w:t>
      </w:r>
      <w:r>
        <w:fldChar w:fldCharType="end"/>
      </w:r>
      <w:r>
        <w:rPr>
          <w:color w:val="000000"/>
        </w:rPr>
        <w:t> настоящей статьи заключения комиссии не требуются.</w:t>
      </w:r>
    </w:p>
    <w:p w14:paraId="00000167">
      <w:pPr>
        <w:rPr>
          <w:color w:val="000000"/>
        </w:rPr>
      </w:pPr>
      <w:r>
        <w:rPr>
          <w:color w:val="000000"/>
        </w:rPr>
        <w:t>3.4. В случае внесения изменений в правила землепользования и застройки в целях ре</w:t>
      </w:r>
      <w:r>
        <w:rPr>
          <w:color w:val="000000"/>
        </w:rPr>
        <w:t>а</w:t>
      </w:r>
      <w:r>
        <w:rPr>
          <w:color w:val="000000"/>
        </w:rPr>
        <w:t>лизации решения о комплексном развитии территории, такие изменения должны быть внес</w:t>
      </w:r>
      <w:r>
        <w:rPr>
          <w:color w:val="000000"/>
        </w:rPr>
        <w:t>е</w:t>
      </w:r>
      <w:r>
        <w:rPr>
          <w:color w:val="000000"/>
        </w:rPr>
        <w:t xml:space="preserve">ны в срок не </w:t>
      </w:r>
      <w:r>
        <w:rPr>
          <w:color w:val="000000"/>
        </w:rPr>
        <w:t>позднее</w:t>
      </w:r>
      <w:r>
        <w:rPr>
          <w:color w:val="000000"/>
        </w:rPr>
        <w:t xml:space="preserve"> чем девяносто дней со дня утверждения проекта планировки территории в целях ее комплексного развития.</w:t>
      </w:r>
    </w:p>
    <w:p w14:paraId="00000168">
      <w:r>
        <w:t>3.5. Внесение изменений в правила землепользования и застройки в связи с обнаруж</w:t>
      </w:r>
      <w:r>
        <w:t>е</w:t>
      </w:r>
      <w:r>
        <w:t>нием мест захоронений погибших при защите Отечества, расположенных в границах муниц</w:t>
      </w:r>
      <w:r>
        <w:t>и</w:t>
      </w:r>
      <w:r>
        <w:t xml:space="preserve">пальных образований, осуществляется в течение шести месяцев </w:t>
      </w:r>
      <w:r>
        <w:t>с даты обнаружения</w:t>
      </w:r>
      <w:r>
        <w:t xml:space="preserve"> таких мест, при этом проведение общественных обсуждений или публичных слушаний не требуется.</w:t>
      </w:r>
    </w:p>
    <w:p w14:paraId="00000169">
      <w:r>
        <w:t>4. Предложение о внесении изменений в настоящие Правила направляется в письме</w:t>
      </w:r>
      <w:r>
        <w:t>н</w:t>
      </w:r>
      <w:r>
        <w:t>ной форме в Комиссию.</w:t>
      </w:r>
    </w:p>
    <w:p w14:paraId="0000016A">
      <w:r>
        <w:t xml:space="preserve">Комиссия в течение </w:t>
      </w:r>
      <w:r>
        <w:rPr>
          <w:color w:val="000000"/>
        </w:rPr>
        <w:t>25</w:t>
      </w:r>
      <w:r>
        <w:t xml:space="preserve"> дней со дня поступления предложения о внесении изменений в настоящие Правила осуществляет подготовку заключения, в котором содержатся рекоменд</w:t>
      </w:r>
      <w:r>
        <w:t>а</w:t>
      </w:r>
      <w:r>
        <w:t>ции о внесении, в соответствии с поступившим предложением, изменения в настоящие Пр</w:t>
      </w:r>
      <w:r>
        <w:t>а</w:t>
      </w:r>
      <w:r>
        <w:t xml:space="preserve">вила или об отклонении такого предложения с указанием причин отклонения, и направляет это заключение главе </w:t>
      </w:r>
      <w:r>
        <w:t>администрации сельского поселения</w:t>
      </w:r>
      <w:r>
        <w:t>.</w:t>
      </w:r>
    </w:p>
    <w:p w14:paraId="0000016B">
      <w:r>
        <w:t>4.1. Проект о внесении изменений в правила землепользования и застройки, предусма</w:t>
      </w:r>
      <w:r>
        <w:t>т</w:t>
      </w:r>
      <w:r>
        <w:t>ривающих приведение данных правил в соответствие с ограничениями использования объе</w:t>
      </w:r>
      <w:r>
        <w:t>к</w:t>
      </w:r>
      <w:r>
        <w:t xml:space="preserve">тов недвижимости, установленными на </w:t>
      </w:r>
      <w:r>
        <w:t>приаэродромной</w:t>
      </w:r>
      <w:r>
        <w:t xml:space="preserve"> территории, рассмотрению комисс</w:t>
      </w:r>
      <w:r>
        <w:t>и</w:t>
      </w:r>
      <w:r>
        <w:t>ей не подлежит.</w:t>
      </w:r>
    </w:p>
    <w:p w14:paraId="0000016C">
      <w:pPr>
        <w:rPr>
          <w:color w:val="000000"/>
        </w:rPr>
      </w:pPr>
      <w:r>
        <w:t>5.</w:t>
      </w:r>
      <w:r>
        <w:rPr>
          <w:color w:val="22272f"/>
          <w:shd w:val="clear" w:color="auto" w:fill="ffffff"/>
        </w:rPr>
        <w:t xml:space="preserve"> </w:t>
      </w:r>
      <w:r>
        <w:rPr>
          <w:color w:val="000000"/>
        </w:rPr>
        <w:t>Глава местной администрации с учетом рекомендаций, содержащихся в заключени</w:t>
      </w:r>
      <w:r>
        <w:rPr>
          <w:color w:val="000000"/>
        </w:rPr>
        <w:t>и</w:t>
      </w:r>
      <w:r>
        <w:rPr>
          <w:color w:val="000000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</w:t>
      </w:r>
      <w:r>
        <w:rPr>
          <w:color w:val="000000"/>
        </w:rPr>
        <w:t>е</w:t>
      </w:r>
      <w:r>
        <w:rPr>
          <w:color w:val="000000"/>
        </w:rPr>
        <w:t>нии изменения в данные правила с указанием причин отклонения и направляет копию такого решения заявителям.</w:t>
      </w:r>
    </w:p>
    <w:p w14:paraId="0000016D">
      <w:pPr>
        <w:numPr>
          <w:ilvl w:val="1"/>
          <w:numId w:val="44"/>
        </w:numPr>
        <w:ind w:left="0" w:firstLine="709"/>
        <w:rPr>
          <w:color w:val="000000"/>
        </w:rPr>
      </w:pPr>
      <w:r>
        <w:rPr>
          <w:color w:val="000000"/>
        </w:rPr>
        <w:t>В случае</w:t>
      </w:r>
      <w:r>
        <w:rPr>
          <w:color w:val="000000"/>
        </w:rPr>
        <w:t>,</w:t>
      </w:r>
      <w:r>
        <w:rPr>
          <w:color w:val="000000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</w:t>
      </w:r>
      <w:r>
        <w:rPr>
          <w:color w:val="000000"/>
        </w:rPr>
        <w:t>з</w:t>
      </w:r>
      <w:r>
        <w:rPr>
          <w:color w:val="000000"/>
        </w:rPr>
        <w:t>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</w:t>
      </w:r>
      <w:r>
        <w:rPr>
          <w:color w:val="000000"/>
        </w:rPr>
        <w:t>д</w:t>
      </w:r>
      <w:r>
        <w:rPr>
          <w:color w:val="000000"/>
        </w:rPr>
        <w:t>нее дня проведения заседания, следующего за ближайшим заседанием.</w:t>
      </w:r>
    </w:p>
    <w:p w14:paraId="0000016E">
      <w:pPr>
        <w:numPr>
          <w:ilvl w:val="0"/>
          <w:numId w:val="45"/>
        </w:numPr>
        <w:ind w:left="0" w:firstLine="709"/>
        <w:rPr>
          <w:color w:val="000000"/>
        </w:rPr>
      </w:pPr>
      <w:r>
        <w:rPr>
          <w:color w:val="000000"/>
        </w:rPr>
        <w:t>Глава местной администрации после поступления от уполномоченного Прав</w:t>
      </w:r>
      <w:r>
        <w:rPr>
          <w:color w:val="000000"/>
        </w:rPr>
        <w:t>и</w:t>
      </w:r>
      <w:r>
        <w:rPr>
          <w:color w:val="000000"/>
        </w:rPr>
        <w:t>тельством Российской Федерации федерального органа исполнительной власти предписания, указанного в </w:t>
      </w:r>
      <w:r>
        <w:fldChar w:fldCharType="begin"/>
      </w:r>
      <w:r>
        <w:instrText xml:space="preserve">HYPERLINK "http://ivo.garant.ru/" \l "/document/12138258/entry/33211" </w:instrText>
      </w:r>
      <w:r>
        <w:fldChar w:fldCharType="separate"/>
      </w:r>
      <w:r>
        <w:rPr>
          <w:color w:val="000000"/>
          <w:u w:val="single"/>
        </w:rPr>
        <w:t>пункте 1.1 части 2</w:t>
      </w:r>
      <w:r>
        <w:fldChar w:fldCharType="end"/>
      </w:r>
      <w:r>
        <w:rPr>
          <w:color w:val="000000"/>
        </w:rPr>
        <w:t xml:space="preserve"> настоящей статьи, </w:t>
      </w:r>
      <w:r>
        <w:rPr>
          <w:color w:val="000000"/>
        </w:rPr>
        <w:t>обязан</w:t>
      </w:r>
      <w:r>
        <w:rPr>
          <w:color w:val="000000"/>
        </w:rPr>
        <w:t xml:space="preserve"> принять решение о внесении изм</w:t>
      </w:r>
      <w:r>
        <w:rPr>
          <w:color w:val="000000"/>
        </w:rPr>
        <w:t>е</w:t>
      </w:r>
      <w:r>
        <w:rPr>
          <w:color w:val="000000"/>
        </w:rPr>
        <w:t>нений в правила землепользования и застройки. Предписание, указанное в пункте 1.1 части 2 настоящей статьи, может быть обжаловано главой местной администрации в суд.</w:t>
      </w:r>
    </w:p>
    <w:p w14:paraId="0000016F">
      <w:pPr>
        <w:numPr>
          <w:ilvl w:val="0"/>
          <w:numId w:val="45"/>
        </w:numPr>
        <w:shd w:val="clear" w:color="auto" w:fill="ffffff"/>
        <w:ind w:left="0" w:firstLine="709"/>
        <w:rPr>
          <w:color w:val="000000"/>
        </w:rPr>
      </w:pPr>
      <w:r>
        <w:rPr>
          <w:color w:val="000000"/>
        </w:rPr>
        <w:t>Со дня поступления в орган местного самоуправления уведомления о выявлении самовольной постройки от исполнительных органов государственной власти, уполномоче</w:t>
      </w:r>
      <w:r>
        <w:rPr>
          <w:color w:val="000000"/>
        </w:rPr>
        <w:t>н</w:t>
      </w:r>
      <w:r>
        <w:rPr>
          <w:color w:val="000000"/>
        </w:rPr>
        <w:t>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</w:t>
      </w:r>
      <w:r>
        <w:rPr>
          <w:color w:val="000000"/>
        </w:rPr>
        <w:t>у</w:t>
      </w:r>
      <w:r>
        <w:rPr>
          <w:color w:val="000000"/>
        </w:rPr>
        <w:t>дарственного надзора в области охраны и использования особо охраняемых природных терр</w:t>
      </w:r>
      <w:r>
        <w:rPr>
          <w:color w:val="000000"/>
        </w:rPr>
        <w:t>и</w:t>
      </w:r>
      <w:r>
        <w:rPr>
          <w:color w:val="000000"/>
        </w:rPr>
        <w:t>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</w:t>
      </w:r>
      <w:r>
        <w:rPr>
          <w:color w:val="000000"/>
        </w:rPr>
        <w:t xml:space="preserve">, </w:t>
      </w:r>
      <w:r>
        <w:rPr>
          <w:color w:val="000000"/>
        </w:rPr>
        <w:t>от исполнител</w:t>
      </w:r>
      <w:r>
        <w:rPr>
          <w:color w:val="000000"/>
        </w:rPr>
        <w:t>ь</w:t>
      </w:r>
      <w:r>
        <w:rPr>
          <w:color w:val="000000"/>
        </w:rPr>
        <w:t>ных органов государственной власти, уполномоченных на осуществление федерального гос</w:t>
      </w:r>
      <w:r>
        <w:rPr>
          <w:color w:val="000000"/>
        </w:rPr>
        <w:t>у</w:t>
      </w:r>
      <w:r>
        <w:rPr>
          <w:color w:val="000000"/>
        </w:rPr>
        <w:t>дарственного лесного надзора (лесной охраны), подведомственных им государственных учр</w:t>
      </w:r>
      <w:r>
        <w:rPr>
          <w:color w:val="000000"/>
        </w:rPr>
        <w:t>е</w:t>
      </w:r>
      <w:r>
        <w:rPr>
          <w:color w:val="000000"/>
        </w:rPr>
        <w:t>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</w:t>
      </w:r>
      <w:r>
        <w:rPr>
          <w:color w:val="000000"/>
        </w:rPr>
        <w:t>ю</w:t>
      </w:r>
      <w:r>
        <w:rPr>
          <w:color w:val="000000"/>
        </w:rPr>
        <w:t>щихся государственными инспекторами в области охраны окружающей среды, или от органов местного самоуправления, осуществляющих муниципальный земельный контроль или мун</w:t>
      </w:r>
      <w:r>
        <w:rPr>
          <w:color w:val="000000"/>
        </w:rPr>
        <w:t>и</w:t>
      </w:r>
      <w:r>
        <w:rPr>
          <w:color w:val="000000"/>
        </w:rPr>
        <w:t>ципальный контроль в области охраны и использования особо охраняемых природных</w:t>
      </w:r>
      <w:r>
        <w:rPr>
          <w:color w:val="000000"/>
        </w:rPr>
        <w:t xml:space="preserve"> </w:t>
      </w:r>
      <w:r>
        <w:rPr>
          <w:color w:val="000000"/>
        </w:rPr>
        <w:t>терр</w:t>
      </w:r>
      <w:r>
        <w:rPr>
          <w:color w:val="000000"/>
        </w:rPr>
        <w:t>и</w:t>
      </w:r>
      <w:r>
        <w:rPr>
          <w:color w:val="000000"/>
        </w:rPr>
        <w:t>торий, не допускается внесение в правила землепользования и застройки изменений, пред</w:t>
      </w:r>
      <w:r>
        <w:rPr>
          <w:color w:val="000000"/>
        </w:rPr>
        <w:t>у</w:t>
      </w:r>
      <w:r>
        <w:rPr>
          <w:color w:val="000000"/>
        </w:rPr>
        <w:t>сматривающих установление применительно к территориальной зоне, в границах которой расположена такая постройка, вида разрешенного использования земельных участков и объе</w:t>
      </w:r>
      <w:r>
        <w:rPr>
          <w:color w:val="000000"/>
        </w:rPr>
        <w:t>к</w:t>
      </w:r>
      <w:r>
        <w:rPr>
          <w:color w:val="000000"/>
        </w:rPr>
        <w:t>тов капитального строительства, предельных параметров разрешенного строительства, реко</w:t>
      </w:r>
      <w:r>
        <w:rPr>
          <w:color w:val="000000"/>
        </w:rPr>
        <w:t>н</w:t>
      </w:r>
      <w:r>
        <w:rPr>
          <w:color w:val="000000"/>
        </w:rPr>
        <w:t>струкции объектов капитального строительства, которым соответствуют вид разрешенного использования и параметры такой постройки, до ее сноса или приведения в соответствие с установленными требованиями, за исключением</w:t>
      </w:r>
      <w:r>
        <w:rPr>
          <w:color w:val="000000"/>
        </w:rPr>
        <w:t xml:space="preserve"> </w:t>
      </w:r>
      <w:r>
        <w:rPr>
          <w:color w:val="000000"/>
        </w:rPr>
        <w:t>случаев, если по результатам рассмотрения данного уведомления органом местного самоуправления в исполнительный орган госуда</w:t>
      </w:r>
      <w:r>
        <w:rPr>
          <w:color w:val="000000"/>
        </w:rPr>
        <w:t>р</w:t>
      </w:r>
      <w:r>
        <w:rPr>
          <w:color w:val="000000"/>
        </w:rPr>
        <w:t xml:space="preserve">ственной власти, указанный выше, от которых поступило данное уведомление, направлено уведомление о том,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</w:t>
      </w:r>
      <w:r>
        <w:rPr>
          <w:color w:val="000000"/>
        </w:rPr>
        <w:t>сносе самовольной постройки или ее приведении в соответствие с установленными требов</w:t>
      </w:r>
      <w:r>
        <w:rPr>
          <w:color w:val="000000"/>
        </w:rPr>
        <w:t>а</w:t>
      </w:r>
      <w:r>
        <w:rPr>
          <w:color w:val="000000"/>
        </w:rPr>
        <w:t>ниями.</w:t>
      </w:r>
    </w:p>
    <w:p w14:paraId="00000170">
      <w:pPr>
        <w:shd w:val="clear" w:color="auto" w:fill="ffffff"/>
        <w:rPr>
          <w:color w:val="000000"/>
        </w:rPr>
      </w:pPr>
      <w:r>
        <w:fldChar w:fldCharType="begin"/>
      </w:r>
      <w:r>
        <w:instrText xml:space="preserve">HYPERLINK "http://ivo.garant.ru/" \l "/document/72005510/entry/26044" </w:instrText>
      </w:r>
      <w:r>
        <w:fldChar w:fldCharType="separate"/>
      </w:r>
      <w:r>
        <w:rPr>
          <w:color w:val="000000"/>
        </w:rPr>
        <w:t>8.</w:t>
      </w:r>
      <w:r>
        <w:fldChar w:fldCharType="end"/>
      </w:r>
      <w:r>
        <w:rPr>
          <w:color w:val="000000"/>
        </w:rPr>
        <w:t xml:space="preserve">  </w:t>
      </w:r>
      <w:r>
        <w:rPr>
          <w:color w:val="000000"/>
        </w:rPr>
        <w:t>В случаях, предусмотренных </w:t>
      </w:r>
      <w:r>
        <w:fldChar w:fldCharType="begin"/>
      </w:r>
      <w:r>
        <w:instrText xml:space="preserve">HYPERLINK "http://ivo.garant.ru/" \l "/document/12138258/entry/33023" </w:instrText>
      </w:r>
      <w:r>
        <w:fldChar w:fldCharType="separate"/>
      </w:r>
      <w:r>
        <w:rPr>
          <w:color w:val="000000"/>
          <w:u w:val="single"/>
        </w:rPr>
        <w:t>пунктами 3 - 5 части 2</w:t>
      </w:r>
      <w:r>
        <w:fldChar w:fldCharType="end"/>
      </w:r>
      <w:r>
        <w:rPr>
          <w:color w:val="000000"/>
        </w:rPr>
        <w:t> настоящей статьи, исполнител</w:t>
      </w:r>
      <w:r>
        <w:rPr>
          <w:color w:val="000000"/>
        </w:rPr>
        <w:t>ь</w:t>
      </w:r>
      <w:r>
        <w:rPr>
          <w:color w:val="000000"/>
        </w:rPr>
        <w:t>ный орган государственной власти или орган местного самоуправления, уполномоченные на установление зон с особыми условиями использования территорий, границ территорий объе</w:t>
      </w:r>
      <w:r>
        <w:rPr>
          <w:color w:val="000000"/>
        </w:rPr>
        <w:t>к</w:t>
      </w:r>
      <w:r>
        <w:rPr>
          <w:color w:val="000000"/>
        </w:rPr>
        <w:t>тов культурного наследия, утверждение границ территорий исторических поселений фед</w:t>
      </w:r>
      <w:r>
        <w:rPr>
          <w:color w:val="000000"/>
        </w:rPr>
        <w:t>е</w:t>
      </w:r>
      <w:r>
        <w:rPr>
          <w:color w:val="000000"/>
        </w:rPr>
        <w:t>рального значения, исторических поселений регионального значения, направляет главе мес</w:t>
      </w:r>
      <w:r>
        <w:rPr>
          <w:color w:val="000000"/>
        </w:rPr>
        <w:t>т</w:t>
      </w:r>
      <w:r>
        <w:rPr>
          <w:color w:val="000000"/>
        </w:rPr>
        <w:t>ной администрации требование об отображении в правилах землепользования и застройки границ зон с особыми условиями</w:t>
      </w:r>
      <w:r>
        <w:rPr>
          <w:color w:val="000000"/>
        </w:rPr>
        <w:t xml:space="preserve"> использования территорий, территорий объектов культурн</w:t>
      </w:r>
      <w:r>
        <w:rPr>
          <w:color w:val="000000"/>
        </w:rPr>
        <w:t>о</w:t>
      </w:r>
      <w:r>
        <w:rPr>
          <w:color w:val="000000"/>
        </w:rPr>
        <w:t>го наследия, территорий исторических поселений федерального значения, территорий истор</w:t>
      </w:r>
      <w:r>
        <w:rPr>
          <w:color w:val="000000"/>
        </w:rPr>
        <w:t>и</w:t>
      </w:r>
      <w:r>
        <w:rPr>
          <w:color w:val="000000"/>
        </w:rPr>
        <w:t>ческих поселений регионального значения, установления ограничений использования земел</w:t>
      </w:r>
      <w:r>
        <w:rPr>
          <w:color w:val="000000"/>
        </w:rPr>
        <w:t>ь</w:t>
      </w:r>
      <w:r>
        <w:rPr>
          <w:color w:val="000000"/>
        </w:rPr>
        <w:t>ных участков и объектов капитального строительства в границах таких зон, территорий.</w:t>
      </w:r>
    </w:p>
    <w:p w14:paraId="00000171">
      <w:pPr>
        <w:shd w:val="clear" w:color="auto" w:fill="ffffff"/>
        <w:rPr>
          <w:color w:val="000000"/>
        </w:rPr>
      </w:pPr>
      <w:r>
        <w:fldChar w:fldCharType="begin"/>
      </w:r>
      <w:r>
        <w:instrText xml:space="preserve">HYPERLINK "http://ivo.garant.ru/" \l "/document/72005510/entry/26044" </w:instrText>
      </w:r>
      <w:r>
        <w:fldChar w:fldCharType="separate"/>
      </w:r>
      <w:r>
        <w:rPr>
          <w:color w:val="000000"/>
        </w:rPr>
        <w:t>9.</w:t>
      </w:r>
      <w:r>
        <w:fldChar w:fldCharType="end"/>
      </w:r>
      <w:r>
        <w:rPr>
          <w:color w:val="000000"/>
        </w:rPr>
        <w:t> </w:t>
      </w:r>
      <w:r>
        <w:rPr>
          <w:color w:val="000000"/>
        </w:rPr>
        <w:t>В случае поступления требования, предусмотренного </w:t>
      </w:r>
      <w:r>
        <w:fldChar w:fldCharType="begin"/>
      </w:r>
      <w:r>
        <w:instrText xml:space="preserve">HYPERLINK "http://ivo.garant.ru/" \l "/document/12138258/entry/3308" </w:instrText>
      </w:r>
      <w:r>
        <w:fldChar w:fldCharType="separate"/>
      </w:r>
      <w:r>
        <w:rPr>
          <w:color w:val="000000"/>
          <w:u w:val="single"/>
        </w:rPr>
        <w:t>частью 8</w:t>
      </w:r>
      <w:r>
        <w:fldChar w:fldCharType="end"/>
      </w:r>
      <w:r>
        <w:rPr>
          <w:color w:val="000000"/>
        </w:rPr>
        <w:t> настоящей статьи, п</w:t>
      </w:r>
      <w:r>
        <w:rPr>
          <w:color w:val="000000"/>
        </w:rPr>
        <w:t>о</w:t>
      </w:r>
      <w:r>
        <w:rPr>
          <w:color w:val="000000"/>
        </w:rPr>
        <w:t>ступления от органа регистрации прав сведений об установлении, изменении или прекращ</w:t>
      </w:r>
      <w:r>
        <w:rPr>
          <w:color w:val="000000"/>
        </w:rPr>
        <w:t>е</w:t>
      </w:r>
      <w:r>
        <w:rPr>
          <w:color w:val="000000"/>
        </w:rPr>
        <w:t>нии существования зоны с особыми условиями использования территории, о границах терр</w:t>
      </w:r>
      <w:r>
        <w:rPr>
          <w:color w:val="000000"/>
        </w:rPr>
        <w:t>и</w:t>
      </w:r>
      <w:r>
        <w:rPr>
          <w:color w:val="000000"/>
        </w:rPr>
        <w:t>тории объекта культурного наследия либо со дня выявления предусмотренных </w:t>
      </w:r>
      <w:r>
        <w:fldChar w:fldCharType="begin"/>
      </w:r>
      <w:r>
        <w:instrText xml:space="preserve">HYPERLINK "http://ivo.garant.ru/" \l "/document/12138258/entry/33023" </w:instrText>
      </w:r>
      <w:r>
        <w:fldChar w:fldCharType="separate"/>
      </w:r>
      <w:r>
        <w:rPr>
          <w:color w:val="000000"/>
          <w:u w:val="single"/>
        </w:rPr>
        <w:t>пунктами 3 - 5 части 2</w:t>
      </w:r>
      <w:r>
        <w:fldChar w:fldCharType="end"/>
      </w:r>
      <w:r>
        <w:rPr>
          <w:color w:val="000000"/>
        </w:rPr>
        <w:t> настоящей статьи оснований для внесения изменений в правила землепользования и застройки глава местной администрации обязан обеспечить внесение</w:t>
      </w:r>
      <w:r>
        <w:rPr>
          <w:color w:val="000000"/>
        </w:rPr>
        <w:t xml:space="preserve"> изменений в правила землепользования и застройки путем их уточнения в соответствии с таким требованием. При этом утверждение изменений в правила землепользования и застройки в целях их уточнения в соответствии с требованием, предусмотренным </w:t>
      </w:r>
      <w:r>
        <w:fldChar w:fldCharType="begin"/>
      </w:r>
      <w:r>
        <w:instrText xml:space="preserve">HYPERLINK "http://ivo.garant.ru/" \l "/document/12138258/entry/3308" </w:instrText>
      </w:r>
      <w:r>
        <w:fldChar w:fldCharType="separate"/>
      </w:r>
      <w:r>
        <w:rPr>
          <w:color w:val="000000"/>
          <w:u w:val="single"/>
        </w:rPr>
        <w:t>частью 8</w:t>
      </w:r>
      <w:r>
        <w:fldChar w:fldCharType="end"/>
      </w:r>
      <w:r>
        <w:rPr>
          <w:color w:val="000000"/>
        </w:rPr>
        <w:t> настоящей статьи, не требуется.</w:t>
      </w:r>
    </w:p>
    <w:p w14:paraId="00000172">
      <w:pPr>
        <w:shd w:val="clear" w:color="auto" w:fill="ffffff"/>
        <w:rPr>
          <w:color w:val="000000"/>
        </w:rPr>
      </w:pPr>
      <w:r>
        <w:fldChar w:fldCharType="begin"/>
      </w:r>
      <w:r>
        <w:instrText xml:space="preserve">HYPERLINK "http://ivo.garant.ru/" \l "/document/72005510/entry/26044" </w:instrText>
      </w:r>
      <w:r>
        <w:fldChar w:fldCharType="separate"/>
      </w:r>
      <w:r>
        <w:rPr>
          <w:color w:val="000000"/>
        </w:rPr>
        <w:t>10.</w:t>
      </w:r>
      <w:r>
        <w:fldChar w:fldCharType="end"/>
      </w:r>
      <w:r>
        <w:rPr>
          <w:color w:val="000000"/>
        </w:rPr>
        <w:t> </w:t>
      </w:r>
      <w:r>
        <w:rPr>
          <w:color w:val="000000"/>
        </w:rPr>
        <w:t>Срок уточнения правил землепользования и застройки в соответствии с </w:t>
      </w:r>
      <w:r>
        <w:fldChar w:fldCharType="begin"/>
      </w:r>
      <w:r>
        <w:instrText xml:space="preserve">HYPERLINK "http://ivo.garant.ru/" \l "/document/12138258/entry/3309" </w:instrText>
      </w:r>
      <w:r>
        <w:fldChar w:fldCharType="separate"/>
      </w:r>
      <w:r>
        <w:rPr>
          <w:color w:val="000000"/>
          <w:u w:val="single"/>
        </w:rPr>
        <w:t>частью 9</w:t>
      </w:r>
      <w:r>
        <w:fldChar w:fldCharType="end"/>
      </w:r>
      <w:r>
        <w:rPr>
          <w:color w:val="000000"/>
        </w:rPr>
        <w:t> настоящей статьи в целях отображения границ зон с особыми условиями использования те</w:t>
      </w:r>
      <w:r>
        <w:rPr>
          <w:color w:val="000000"/>
        </w:rPr>
        <w:t>р</w:t>
      </w:r>
      <w:r>
        <w:rPr>
          <w:color w:val="000000"/>
        </w:rPr>
        <w:t>риторий, территорий объектов культурного наследия, территорий исторических поселений федерального значения, территорий исторических поселений регионального значения, уст</w:t>
      </w:r>
      <w:r>
        <w:rPr>
          <w:color w:val="000000"/>
        </w:rPr>
        <w:t>а</w:t>
      </w:r>
      <w:r>
        <w:rPr>
          <w:color w:val="000000"/>
        </w:rPr>
        <w:t>новления ограничений использования земельных участков и объектов капитального стро</w:t>
      </w:r>
      <w:r>
        <w:rPr>
          <w:color w:val="000000"/>
        </w:rPr>
        <w:t>и</w:t>
      </w:r>
      <w:r>
        <w:rPr>
          <w:color w:val="000000"/>
        </w:rPr>
        <w:t>тельства в границах таких зон, территорий не может превышать шесть месяцев со дня посту</w:t>
      </w:r>
      <w:r>
        <w:rPr>
          <w:color w:val="000000"/>
        </w:rPr>
        <w:t>п</w:t>
      </w:r>
      <w:r>
        <w:rPr>
          <w:color w:val="000000"/>
        </w:rPr>
        <w:t>ления требования</w:t>
      </w:r>
      <w:r>
        <w:rPr>
          <w:color w:val="000000"/>
        </w:rPr>
        <w:t>, предусмотренного </w:t>
      </w:r>
      <w:r>
        <w:fldChar w:fldCharType="begin"/>
      </w:r>
      <w:r>
        <w:instrText xml:space="preserve">HYPERLINK "http://ivo.garant.ru/" \l "/document/12138258/entry/3308" </w:instrText>
      </w:r>
      <w:r>
        <w:fldChar w:fldCharType="separate"/>
      </w:r>
      <w:r>
        <w:rPr>
          <w:color w:val="000000"/>
          <w:u w:val="single"/>
        </w:rPr>
        <w:t>частью 8</w:t>
      </w:r>
      <w:r>
        <w:fldChar w:fldCharType="end"/>
      </w:r>
      <w:r>
        <w:rPr>
          <w:color w:val="000000"/>
        </w:rPr>
        <w:t> настоящей статьи, поступления от органа рег</w:t>
      </w:r>
      <w:r>
        <w:rPr>
          <w:color w:val="000000"/>
        </w:rPr>
        <w:t>и</w:t>
      </w:r>
      <w:r>
        <w:rPr>
          <w:color w:val="000000"/>
        </w:rPr>
        <w:t>страции прав сведений об установлении, изменении или прекращении существования зоны с особыми условиями использования территории, о границах территории объекта культурного наследия либо со дня выявления предусмотренных </w:t>
      </w:r>
      <w:r>
        <w:fldChar w:fldCharType="begin"/>
      </w:r>
      <w:r>
        <w:instrText xml:space="preserve">HYPERLINK "http://ivo.garant.ru/" \l "/document/12138258/entry/33023" </w:instrText>
      </w:r>
      <w:r>
        <w:fldChar w:fldCharType="separate"/>
      </w:r>
      <w:r>
        <w:rPr>
          <w:color w:val="000000"/>
          <w:u w:val="single"/>
        </w:rPr>
        <w:t>пунктами 3 - 5 части 2</w:t>
      </w:r>
      <w:r>
        <w:fldChar w:fldCharType="end"/>
      </w:r>
      <w:r>
        <w:rPr>
          <w:color w:val="000000"/>
        </w:rPr>
        <w:t> настоящей статьи оснований для внесения изменений в правила землепользования и застройки.</w:t>
      </w:r>
    </w:p>
    <w:p w14:paraId="00000173">
      <w:pPr>
        <w:pStyle w:val="Heading3"/>
        <w:rPr/>
      </w:pPr>
      <w:bookmarkStart w:id="208" w:name="_Toc147915952"/>
      <w:bookmarkStart w:id="209" w:name="_Toc159317556"/>
      <w:r>
        <w:t>Статья 16.1. Порядок подготовки проекта внесения изменений в Правила земл</w:t>
      </w:r>
      <w:r>
        <w:t>е</w:t>
      </w:r>
      <w:r>
        <w:t>пользования и застройки</w:t>
      </w:r>
      <w:bookmarkEnd w:id="208"/>
      <w:bookmarkEnd w:id="209"/>
    </w:p>
    <w:p w14:paraId="00000174">
      <w:pPr>
        <w:rPr>
          <w:color w:val="000000"/>
        </w:rPr>
      </w:pPr>
    </w:p>
    <w:p w14:paraId="00000175">
      <w:pPr>
        <w:spacing w:line="180" w:lineRule="atLeast"/>
        <w:ind w:firstLine="851"/>
        <w:rPr/>
      </w:pPr>
      <w:r>
        <w:t xml:space="preserve">1. Подготовка проекта внесения изменений в правила землепользования и застройки может осуществляться применительно ко всем территориям </w:t>
      </w:r>
      <w:r>
        <w:t>муниципального образования</w:t>
      </w:r>
      <w:r>
        <w:t xml:space="preserve">, а также к частям </w:t>
      </w:r>
      <w:r>
        <w:t>муниципального образования</w:t>
      </w:r>
      <w:r>
        <w:t xml:space="preserve"> с последующим внесением в правила землепол</w:t>
      </w:r>
      <w:r>
        <w:t>ь</w:t>
      </w:r>
      <w:r>
        <w:t xml:space="preserve">зования и застройки изменений, относящихся к другим частям территорий </w:t>
      </w:r>
      <w:r>
        <w:t>муниципального образования</w:t>
      </w:r>
      <w:r>
        <w:t>.</w:t>
      </w:r>
    </w:p>
    <w:p w14:paraId="00000176">
      <w:pPr>
        <w:spacing w:line="180" w:lineRule="atLeast"/>
        <w:ind w:firstLine="851"/>
        <w:rPr/>
      </w:pPr>
      <w:r>
        <w:t>2. В случае</w:t>
      </w:r>
      <w:r>
        <w:t>,</w:t>
      </w:r>
      <w:r>
        <w:t xml:space="preserve"> если в соответствии со </w:t>
      </w:r>
      <w:r>
        <w:fldChar w:fldCharType="begin"/>
      </w:r>
      <w:r>
        <w:instrText xml:space="preserve">HYPERLINK "https://login.consultant.ru/link/?req=doc&amp;demo=2&amp;base=LAW&amp;n=437094&amp;dst=4254&amp;field=134&amp;date=10.10.2023" </w:instrText>
      </w:r>
      <w:r>
        <w:fldChar w:fldCharType="separate"/>
      </w:r>
      <w:r>
        <w:rPr>
          <w:color w:val="0000ff"/>
          <w:u w:val="single"/>
        </w:rPr>
        <w:t>статьей 28.1</w:t>
      </w:r>
      <w:r>
        <w:fldChar w:fldCharType="end"/>
      </w:r>
      <w:r>
        <w:t xml:space="preserve"> Градостроительного  Кодекса утве</w:t>
      </w:r>
      <w:r>
        <w:t>р</w:t>
      </w:r>
      <w:r>
        <w:t>жден единый документ, в том числе применительно к отдельным населенным пунктам, вх</w:t>
      </w:r>
      <w:r>
        <w:t>о</w:t>
      </w:r>
      <w:r>
        <w:t xml:space="preserve">дящим в состав </w:t>
      </w:r>
      <w:r>
        <w:t>муниципального образования</w:t>
      </w:r>
      <w:r>
        <w:t xml:space="preserve">, частям населенного пункта, подготовка и утверждение проекта внесения изменений в правила землепользования и застройки </w:t>
      </w:r>
      <w:r>
        <w:t>муниц</w:t>
      </w:r>
      <w:r>
        <w:t>и</w:t>
      </w:r>
      <w:r>
        <w:t>пального образования</w:t>
      </w:r>
      <w:r>
        <w:t xml:space="preserve">, в том числе применительно к территориям указанных населенных пунктов, их частям, не осуществляются, а ранее утвержденные правила землепользования и застройки </w:t>
      </w:r>
      <w:r>
        <w:t>сельского поселения</w:t>
      </w:r>
      <w:r>
        <w:t>, в том числе применительно к территориям указанных нас</w:t>
      </w:r>
      <w:r>
        <w:t>е</w:t>
      </w:r>
      <w:r>
        <w:t xml:space="preserve">ленных пунктов, их частям, подлежат признанию </w:t>
      </w:r>
      <w:r>
        <w:t>утратившими</w:t>
      </w:r>
      <w:r>
        <w:t xml:space="preserve"> силу.</w:t>
      </w:r>
    </w:p>
    <w:p w14:paraId="00000177">
      <w:pPr>
        <w:spacing w:before="105" w:line="180" w:lineRule="atLeast"/>
        <w:ind w:firstLine="851"/>
        <w:rPr/>
      </w:pPr>
      <w:r>
        <w:t xml:space="preserve">3. </w:t>
      </w:r>
      <w:r>
        <w:t>Подготовка проекта внесения изменений в правила землепользования и застройки осуществляется с учетом положений о территориальном планировании, содержащихся в д</w:t>
      </w:r>
      <w:r>
        <w:t>о</w:t>
      </w:r>
      <w:r>
        <w:t>кументах территориального планирования, с учетом требований технических регламентов, сведений Единого государственного реестра недвижимости, сведений, документов, матери</w:t>
      </w:r>
      <w:r>
        <w:t>а</w:t>
      </w:r>
      <w:r>
        <w:t>лов, содержащихся в государственных информационных системах обеспечения градостро</w:t>
      </w:r>
      <w:r>
        <w:t>и</w:t>
      </w:r>
      <w:r>
        <w:t>тельной деятельности, заключения о результатах общественных обсуждений или публичных слушаний и предложений заинтересованных лиц.</w:t>
      </w:r>
      <w:r>
        <w:t xml:space="preserve"> В случае внесения изменений  в правила землепользования и застройки с целью приведения их в соответствие с ограничениями и</w:t>
      </w:r>
      <w:r>
        <w:t>с</w:t>
      </w:r>
      <w:r>
        <w:t xml:space="preserve">пользования объектов недвижимости, установленными на </w:t>
      </w:r>
      <w:r>
        <w:t>приаэродромной</w:t>
      </w:r>
      <w:r>
        <w:t xml:space="preserve"> территории, общ</w:t>
      </w:r>
      <w:r>
        <w:t>е</w:t>
      </w:r>
      <w:r>
        <w:t>ственные обсуждения или публичные слушания не проводятся.</w:t>
      </w:r>
    </w:p>
    <w:p w14:paraId="00000178">
      <w:pPr>
        <w:spacing w:before="105" w:line="180" w:lineRule="atLeast"/>
        <w:ind w:firstLine="851"/>
        <w:rPr/>
      </w:pPr>
      <w:r>
        <w:t>3.1. При подготовке проекта внесения изменений в правила землепользования и з</w:t>
      </w:r>
      <w:r>
        <w:t>а</w:t>
      </w:r>
      <w:r>
        <w:t xml:space="preserve">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</w:t>
      </w:r>
      <w:r>
        <w:t>муниципального образов</w:t>
      </w:r>
      <w:r>
        <w:t>а</w:t>
      </w:r>
      <w:r>
        <w:t>ния</w:t>
      </w:r>
      <w:r>
        <w:t xml:space="preserve"> предусмотренных документами территориального планирования объектов федерального значения, объектов регионального значения, объектов местного значения (за исключением л</w:t>
      </w:r>
      <w:r>
        <w:t>и</w:t>
      </w:r>
      <w:r>
        <w:t>нейных объектов).</w:t>
      </w:r>
    </w:p>
    <w:p w14:paraId="00000179">
      <w:pPr>
        <w:spacing w:before="105" w:line="180" w:lineRule="atLeast"/>
        <w:ind w:firstLine="851"/>
        <w:rPr/>
      </w:pPr>
      <w:r>
        <w:t xml:space="preserve">4. Применительно к части территории </w:t>
      </w:r>
      <w:r>
        <w:t>муниципального образования</w:t>
      </w:r>
      <w:r>
        <w:t xml:space="preserve"> подготовка пр</w:t>
      </w:r>
      <w:r>
        <w:t>о</w:t>
      </w:r>
      <w:r>
        <w:t xml:space="preserve">екта внесения изменений в правила землепользования и застройки может осуществляться при отсутствии генерального плана </w:t>
      </w:r>
      <w:r>
        <w:t>муниципального образования</w:t>
      </w:r>
      <w:r>
        <w:t>.</w:t>
      </w:r>
    </w:p>
    <w:p w14:paraId="0000017A">
      <w:pPr>
        <w:spacing w:before="105" w:line="180" w:lineRule="atLeast"/>
        <w:ind w:firstLine="851"/>
        <w:rPr/>
      </w:pPr>
      <w:r>
        <w:t xml:space="preserve">5. </w:t>
      </w:r>
      <w:r>
        <w:t xml:space="preserve">Решение о подготовке проекта внесения изменений в правила землепользования и застройки принимается главой </w:t>
      </w:r>
      <w:r>
        <w:t>администрации сельского поселения</w:t>
      </w:r>
      <w:r>
        <w:t xml:space="preserve"> </w:t>
      </w:r>
      <w:r>
        <w:t xml:space="preserve">с установлением этапов градостроительного зонирования применительно ко всем территориям </w:t>
      </w:r>
      <w:r>
        <w:t>сельского поселения</w:t>
      </w:r>
      <w:r>
        <w:t xml:space="preserve">, либо к различным частям территорий </w:t>
      </w:r>
      <w:r>
        <w:t>муниципального образования</w:t>
      </w:r>
      <w:r>
        <w:t xml:space="preserve"> (в случае подготовки пр</w:t>
      </w:r>
      <w:r>
        <w:t>о</w:t>
      </w:r>
      <w:r>
        <w:t xml:space="preserve">екта правил землепользования и застройки применительно к частям территорий </w:t>
      </w:r>
      <w:r>
        <w:t>муниципал</w:t>
      </w:r>
      <w:r>
        <w:t>ь</w:t>
      </w:r>
      <w:r>
        <w:t>ного образования</w:t>
      </w:r>
      <w:r>
        <w:t>), порядка и сроков проведения работ по подготовке проекта внесения изм</w:t>
      </w:r>
      <w:r>
        <w:t>е</w:t>
      </w:r>
      <w:r>
        <w:t>нений в правила</w:t>
      </w:r>
      <w:r>
        <w:t xml:space="preserve"> землепользования и застройки, иных положений, касающихся организации указанных работ.</w:t>
      </w:r>
    </w:p>
    <w:p w14:paraId="0000017B">
      <w:pPr>
        <w:spacing w:before="105" w:line="180" w:lineRule="atLeast"/>
        <w:ind w:firstLine="851"/>
        <w:rPr/>
      </w:pPr>
      <w:r>
        <w:t>6. Одновременно с принятием решения о подготовке проекта правил землепользов</w:t>
      </w:r>
      <w:r>
        <w:t>а</w:t>
      </w:r>
      <w:r>
        <w:t>ния и застройки главой</w:t>
      </w:r>
      <w:r>
        <w:t xml:space="preserve"> местной</w:t>
      </w:r>
      <w:r>
        <w:t xml:space="preserve"> </w:t>
      </w:r>
      <w:r>
        <w:t xml:space="preserve">администрации </w:t>
      </w:r>
      <w:r>
        <w:t xml:space="preserve">утверждаются </w:t>
      </w:r>
      <w:r>
        <w:t>состав</w:t>
      </w:r>
      <w:r>
        <w:t xml:space="preserve"> и порядок деятельности комиссии по подготовке проекта внесения изменений в  правила землепользования и застро</w:t>
      </w:r>
      <w:r>
        <w:t>й</w:t>
      </w:r>
      <w:r>
        <w:t>ки (далее - комиссия), которая может выступать организатором общественных обсуждений или публичных слушаний при их проведении.</w:t>
      </w:r>
    </w:p>
    <w:p w14:paraId="0000017C">
      <w:pPr>
        <w:spacing w:before="105" w:line="180" w:lineRule="atLeast"/>
        <w:ind w:firstLine="851"/>
        <w:rPr/>
      </w:pPr>
      <w:bookmarkStart w:id="210" w:name="p15"/>
      <w:bookmarkEnd w:id="210"/>
      <w:r>
        <w:t>7</w:t>
      </w:r>
      <w:r>
        <w:t xml:space="preserve">. Глава </w:t>
      </w:r>
      <w:r>
        <w:t>администрации сельского поселения</w:t>
      </w:r>
      <w:r>
        <w:t xml:space="preserve"> не </w:t>
      </w:r>
      <w:r>
        <w:t>позднее</w:t>
      </w:r>
      <w:r>
        <w:t xml:space="preserve"> чем по истечении десяти дней с даты принятия решения о подготовке проекта внесения изменений в правила земл</w:t>
      </w:r>
      <w:r>
        <w:t>е</w:t>
      </w:r>
      <w:r>
        <w:t>пользования и застройки обеспечивает опубликование сообщения о принятии такого решения в порядке, установленном для официального опубликования муниципальных правовых актов, иной официальной информации, и размещение указанного сообщения на официальном сайте муниципального образования (при наличии официального сайта муниципального образов</w:t>
      </w:r>
      <w:r>
        <w:t>а</w:t>
      </w:r>
      <w:r>
        <w:t>ния) в сети "Интернет". Сообщение о принятии такого решения также может быть распр</w:t>
      </w:r>
      <w:r>
        <w:t>о</w:t>
      </w:r>
      <w:r>
        <w:t>странено по радио и телевидению.</w:t>
      </w:r>
    </w:p>
    <w:p w14:paraId="0000017D">
      <w:pPr>
        <w:spacing w:before="105" w:line="180" w:lineRule="atLeast"/>
        <w:rPr/>
      </w:pPr>
      <w:r>
        <w:t>7.1. В случае приведения правил землепользования и застройки в соответствие с огр</w:t>
      </w:r>
      <w:r>
        <w:t>а</w:t>
      </w:r>
      <w:r>
        <w:t xml:space="preserve">ничениями использования объектов недвижимости, установленными на </w:t>
      </w:r>
      <w:r>
        <w:t>приаэродромной</w:t>
      </w:r>
      <w:r>
        <w:t xml:space="preserve"> те</w:t>
      </w:r>
      <w:r>
        <w:t>р</w:t>
      </w:r>
      <w:r>
        <w:t>ритории, опубликование сообщения о принятии решения о подготовке проекта о внесении</w:t>
      </w:r>
      <w:r>
        <w:t xml:space="preserve"> и</w:t>
      </w:r>
      <w:r>
        <w:t>з</w:t>
      </w:r>
      <w:r>
        <w:t>менений в правила землепользования и застройки не требуется.</w:t>
      </w:r>
    </w:p>
    <w:p w14:paraId="0000017E">
      <w:pPr>
        <w:spacing w:before="105" w:line="180" w:lineRule="atLeast"/>
        <w:rPr/>
      </w:pPr>
      <w:r>
        <w:t xml:space="preserve">8. В указанном в </w:t>
      </w:r>
      <w:r>
        <w:rPr>
          <w:color w:val="000000" w:themeColor="text1"/>
        </w:rPr>
        <w:t xml:space="preserve">части 7 </w:t>
      </w:r>
      <w:r>
        <w:t>настоящей статьи сообщении о принятии решения о подгото</w:t>
      </w:r>
      <w:r>
        <w:t>в</w:t>
      </w:r>
      <w:r>
        <w:t>ке проекта внесения изменений в  правила землепользования и застройки указываются:</w:t>
      </w:r>
    </w:p>
    <w:p w14:paraId="0000017F">
      <w:pPr>
        <w:spacing w:before="105" w:line="180" w:lineRule="atLeast"/>
        <w:rPr/>
      </w:pPr>
      <w:r>
        <w:t>1) состав и порядок деятельности комиссии;</w:t>
      </w:r>
    </w:p>
    <w:p w14:paraId="00000180">
      <w:pPr>
        <w:spacing w:before="105" w:line="180" w:lineRule="atLeast"/>
        <w:rPr/>
      </w:pPr>
      <w:r>
        <w:t xml:space="preserve">2) последовательность градостроительного зонирования применительно к территориям </w:t>
      </w:r>
      <w:r>
        <w:t>муниципального образования</w:t>
      </w:r>
      <w:r>
        <w:t xml:space="preserve">, либо применительно к различным </w:t>
      </w:r>
      <w:r>
        <w:t>муниципального образования</w:t>
      </w:r>
      <w:r>
        <w:t xml:space="preserve"> </w:t>
      </w:r>
      <w:r>
        <w:t xml:space="preserve">(в случае подготовки проекта внесения изменений в  правила землепользования и застройки применительно к частям территорий </w:t>
      </w:r>
      <w:r>
        <w:t>муниципального образования</w:t>
      </w:r>
      <w:r>
        <w:t>);</w:t>
      </w:r>
    </w:p>
    <w:p w14:paraId="00000181">
      <w:pPr>
        <w:spacing w:before="105" w:line="180" w:lineRule="atLeast"/>
        <w:ind w:firstLine="851"/>
        <w:rPr/>
      </w:pPr>
      <w:r>
        <w:t>3) порядок и сроки проведения работ по подготовке проекта внесения изменений в  правила землепользования и застройки;</w:t>
      </w:r>
    </w:p>
    <w:p w14:paraId="00000182">
      <w:pPr>
        <w:spacing w:before="105" w:line="180" w:lineRule="atLeast"/>
        <w:ind w:firstLine="851"/>
        <w:rPr/>
      </w:pPr>
      <w:r>
        <w:t>4) порядок направления в комиссию предложений заинтересованных лиц по подг</w:t>
      </w:r>
      <w:r>
        <w:t>о</w:t>
      </w:r>
      <w:r>
        <w:t>товке проекта внесения изменений в  правила землепользования и застройки;</w:t>
      </w:r>
    </w:p>
    <w:p w14:paraId="00000183">
      <w:pPr>
        <w:spacing w:before="105" w:line="180" w:lineRule="atLeast"/>
        <w:ind w:firstLine="851"/>
        <w:rPr/>
      </w:pPr>
      <w:r>
        <w:t>5) иные вопросы организации работ.</w:t>
      </w:r>
    </w:p>
    <w:p w14:paraId="00000184">
      <w:pPr>
        <w:spacing w:before="105" w:line="180" w:lineRule="atLeast"/>
        <w:rPr/>
      </w:pPr>
      <w:r>
        <w:t>8.1. В случае</w:t>
      </w:r>
      <w:r>
        <w:t>,</w:t>
      </w:r>
      <w:r>
        <w:t xml:space="preserve"> если в границах особо охраняемой природной территории федерального или регионального значения полностью расположен населенный пункт, проект правил земл</w:t>
      </w:r>
      <w:r>
        <w:t>е</w:t>
      </w:r>
      <w:r>
        <w:t>пользования и застройки, подготовленный применительно к территории такого населенного пункта, находящейся в границах указанной особо охраняемой природной территории, подл</w:t>
      </w:r>
      <w:r>
        <w:t>е</w:t>
      </w:r>
      <w:r>
        <w:t>жит согласованию соответственно с федеральным органом исполнительной власти, органом исполнительной власти субъекта Российской Федерации, в ведении которых находится особо охраняемая природная территория. Предметом согласования является соответствие град</w:t>
      </w:r>
      <w:r>
        <w:t>о</w:t>
      </w:r>
      <w:r>
        <w:t>строительного регламента, устанавливаемого применительно к территории указанного нас</w:t>
      </w:r>
      <w:r>
        <w:t>е</w:t>
      </w:r>
      <w:r>
        <w:t xml:space="preserve">ленного пункта, режиму особой охраны, предусмотренному </w:t>
      </w:r>
      <w:r>
        <w:rPr>
          <w:color w:val="000000" w:themeColor="text1"/>
        </w:rPr>
        <w:t>законодательством</w:t>
      </w:r>
      <w:r>
        <w:t xml:space="preserve"> Российской Федерации об особо охраняемых природных территориях и положением об особо охраняемой природной территории. Согласование осуществляется в </w:t>
      </w:r>
      <w:r>
        <w:rPr>
          <w:color w:val="000000" w:themeColor="text1"/>
        </w:rPr>
        <w:t>порядке</w:t>
      </w:r>
      <w:r>
        <w:t>, установленном Правител</w:t>
      </w:r>
      <w:r>
        <w:t>ь</w:t>
      </w:r>
      <w:r>
        <w:t>ством Российской Федерации.</w:t>
      </w:r>
    </w:p>
    <w:p w14:paraId="00000185">
      <w:pPr>
        <w:spacing w:before="105" w:line="180" w:lineRule="atLeast"/>
        <w:ind w:firstLine="851"/>
        <w:rPr/>
      </w:pPr>
      <w:bookmarkStart w:id="211" w:name="p31"/>
      <w:bookmarkEnd w:id="211"/>
      <w:r>
        <w:t>9</w:t>
      </w:r>
      <w:r>
        <w:t xml:space="preserve">. </w:t>
      </w:r>
      <w:r>
        <w:t>Орган местного самоуправления осуществляет проверку проекта внесения измен</w:t>
      </w:r>
      <w:r>
        <w:t>е</w:t>
      </w:r>
      <w:r>
        <w:t xml:space="preserve">ний в правила землепользования и застройки, представленного комиссией, на соответствие требованиям технических регламентов, генеральному плану </w:t>
      </w:r>
      <w:r>
        <w:t>муниципального образования</w:t>
      </w:r>
      <w:r>
        <w:t>, схемам территориального планирования субъекта Российской Федерации, схемам территор</w:t>
      </w:r>
      <w:r>
        <w:t>и</w:t>
      </w:r>
      <w:r>
        <w:t>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государственных и</w:t>
      </w:r>
      <w:r>
        <w:t>н</w:t>
      </w:r>
      <w:r>
        <w:t>формационных системах обеспечения градостроительной деятельности субъектов Российской Федерации.</w:t>
      </w:r>
    </w:p>
    <w:p w14:paraId="00000186">
      <w:pPr>
        <w:spacing w:before="105" w:line="180" w:lineRule="atLeast"/>
        <w:ind w:firstLine="851"/>
        <w:rPr/>
      </w:pPr>
      <w:r>
        <w:t xml:space="preserve">10. По результатам указанной в </w:t>
      </w:r>
      <w:r>
        <w:rPr>
          <w:color w:val="000000" w:themeColor="text1"/>
        </w:rPr>
        <w:t xml:space="preserve">части 9 </w:t>
      </w:r>
      <w:r>
        <w:t>настоящей статьи проверки орган местного самоуправления направляет проект внесения изменений в правила землепользования и з</w:t>
      </w:r>
      <w:r>
        <w:t>а</w:t>
      </w:r>
      <w:r>
        <w:t xml:space="preserve">стройки главе </w:t>
      </w:r>
      <w:r>
        <w:t xml:space="preserve">администрации </w:t>
      </w:r>
      <w:r>
        <w:t>сельского поселения</w:t>
      </w:r>
      <w:r>
        <w:t xml:space="preserve"> или в случае обнаружения его несоотве</w:t>
      </w:r>
      <w:r>
        <w:t>т</w:t>
      </w:r>
      <w:r>
        <w:t xml:space="preserve">ствия требованиям и документам, указанным в </w:t>
      </w:r>
      <w:r>
        <w:rPr>
          <w:color w:val="000000" w:themeColor="text1"/>
        </w:rPr>
        <w:t xml:space="preserve">части 9 </w:t>
      </w:r>
      <w:r>
        <w:t>настоящей статьи, в комиссию на д</w:t>
      </w:r>
      <w:r>
        <w:t>о</w:t>
      </w:r>
      <w:r>
        <w:t>работку.</w:t>
      </w:r>
    </w:p>
    <w:p w14:paraId="00000187">
      <w:pPr>
        <w:spacing w:before="105" w:line="180" w:lineRule="atLeast"/>
        <w:ind w:firstLine="851"/>
        <w:rPr/>
      </w:pPr>
      <w:r>
        <w:t xml:space="preserve">11. Глава </w:t>
      </w:r>
      <w:r>
        <w:t xml:space="preserve">администрации сельского поселения </w:t>
      </w:r>
      <w:r>
        <w:t>при получении от органа местного с</w:t>
      </w:r>
      <w:r>
        <w:t>а</w:t>
      </w:r>
      <w:r>
        <w:t>моуправления проекта внесения изменений в правила землепользования и застройки приним</w:t>
      </w:r>
      <w:r>
        <w:t>а</w:t>
      </w:r>
      <w:r>
        <w:t>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проекта.</w:t>
      </w:r>
    </w:p>
    <w:p w14:paraId="00000188">
      <w:pPr>
        <w:spacing w:line="180" w:lineRule="atLeast"/>
        <w:ind w:firstLine="851"/>
        <w:rPr/>
      </w:pPr>
      <w:r>
        <w:t> 12. Общественные обсуждения или публичные слушания по проекту правил земл</w:t>
      </w:r>
      <w:r>
        <w:t>е</w:t>
      </w:r>
      <w:r>
        <w:t>пользования и застройки проводятся в порядке, определяемом уставом муниципального обр</w:t>
      </w:r>
      <w:r>
        <w:t>а</w:t>
      </w:r>
      <w:r>
        <w:t>зования и (или) нормативным правовым актом представительного органа муниципального о</w:t>
      </w:r>
      <w:r>
        <w:t>б</w:t>
      </w:r>
      <w:r>
        <w:t>разования, в соответствии с</w:t>
      </w:r>
      <w:r>
        <w:t xml:space="preserve"> </w:t>
      </w:r>
      <w:r>
        <w:t xml:space="preserve">главой 5 настоящих правил  и с </w:t>
      </w:r>
      <w:r>
        <w:rPr>
          <w:color w:val="000000" w:themeColor="text1"/>
        </w:rPr>
        <w:t xml:space="preserve">частями 13 </w:t>
      </w:r>
      <w:r>
        <w:t>и</w:t>
      </w:r>
      <w:r>
        <w:rPr>
          <w:color w:val="000000" w:themeColor="text1"/>
        </w:rPr>
        <w:t xml:space="preserve"> 14 </w:t>
      </w:r>
      <w:r>
        <w:t>настоящей статьи.</w:t>
      </w:r>
    </w:p>
    <w:p w14:paraId="00000189">
      <w:pPr>
        <w:spacing w:before="105" w:line="180" w:lineRule="atLeast"/>
        <w:ind w:firstLine="851"/>
        <w:rPr/>
      </w:pPr>
      <w:bookmarkStart w:id="212" w:name="p40"/>
      <w:bookmarkEnd w:id="212"/>
      <w:r>
        <w:t>1</w:t>
      </w:r>
      <w:r>
        <w:t>3. Продолжительность общественных обсуждений или публичных слушаний по пр</w:t>
      </w:r>
      <w:r>
        <w:t>о</w:t>
      </w:r>
      <w:r>
        <w:t>екту правил землепользования и застройки составляет не более одного месяца со дня опубл</w:t>
      </w:r>
      <w:r>
        <w:t>и</w:t>
      </w:r>
      <w:r>
        <w:t>кования такого проекта.</w:t>
      </w:r>
    </w:p>
    <w:p w14:paraId="0000018A">
      <w:pPr>
        <w:spacing w:before="105" w:line="180" w:lineRule="atLeast"/>
        <w:ind w:firstLine="851"/>
        <w:rPr/>
      </w:pPr>
      <w:bookmarkStart w:id="213" w:name="p42"/>
      <w:bookmarkEnd w:id="213"/>
      <w:r>
        <w:t>1</w:t>
      </w:r>
      <w:r>
        <w:t xml:space="preserve">4. </w:t>
      </w:r>
      <w:r>
        <w:t>В случае подготовки изменений в правила землепользования и застройки в части внесения изменений в градостроительный регламент, установленный для конкретной террит</w:t>
      </w:r>
      <w:r>
        <w:t>о</w:t>
      </w:r>
      <w:r>
        <w:t>риальной зоны, а также в случае подготовки изменений в правила землепользования и з</w:t>
      </w:r>
      <w:r>
        <w:t>а</w:t>
      </w:r>
      <w:r>
        <w:t>стройки в связи с принятием решения о комплексном развитии территории, общественные о</w:t>
      </w:r>
      <w:r>
        <w:t>б</w:t>
      </w:r>
      <w:r>
        <w:t xml:space="preserve">суждения или публичные слушания по внесению изменений в правила землепользования и </w:t>
      </w:r>
      <w:r>
        <w:t>застройки проводятся в границах территориальной зоны, для</w:t>
      </w:r>
      <w:r>
        <w:t xml:space="preserve"> которой установлен такой град</w:t>
      </w:r>
      <w:r>
        <w:t>о</w:t>
      </w:r>
      <w:r>
        <w:t>строительный регламент, в границах территории, подлежащей комплексному развитию.</w:t>
      </w:r>
    </w:p>
    <w:p w14:paraId="0000018B">
      <w:pPr>
        <w:spacing w:before="105" w:line="180" w:lineRule="atLeast"/>
        <w:ind w:firstLine="851"/>
        <w:rPr/>
      </w:pPr>
      <w:bookmarkStart w:id="214" w:name="p44"/>
      <w:bookmarkEnd w:id="214"/>
      <w:r>
        <w:t>1</w:t>
      </w:r>
      <w:r>
        <w:t>5. После завершения общественных обсуждений или публичных слушаний по прое</w:t>
      </w:r>
      <w:r>
        <w:t>к</w:t>
      </w:r>
      <w:r>
        <w:t>ту внесения изменений в правила землепользования и застройки комиссия с учетом результ</w:t>
      </w:r>
      <w:r>
        <w:t>а</w:t>
      </w:r>
      <w:r>
        <w:t>тов таких общественных обсуждений или публичных слушаний обеспечивает внесение изм</w:t>
      </w:r>
      <w:r>
        <w:t>е</w:t>
      </w:r>
      <w:r>
        <w:t>нений в проект правил землепользования и застройки и представляет указанный проект главе местной администрации. Обязательными приложениями к проекту правил землепользования и застройки являются протокол общественных обсуждений или публичных слушаний и закл</w:t>
      </w:r>
      <w:r>
        <w:t>ю</w:t>
      </w:r>
      <w:r>
        <w:t>чение о результатах общественных обсуждений или публичных слушаний, за исключением случаев, если их проведение не требуется.</w:t>
      </w:r>
    </w:p>
    <w:p w14:paraId="0000018C">
      <w:pPr>
        <w:spacing w:before="105" w:line="180" w:lineRule="atLeast"/>
        <w:ind w:firstLine="851"/>
        <w:rPr/>
      </w:pPr>
      <w:r>
        <w:t xml:space="preserve">16. </w:t>
      </w:r>
      <w:r>
        <w:t xml:space="preserve">Глава </w:t>
      </w:r>
      <w:r>
        <w:t xml:space="preserve">администрации сельского поселения </w:t>
      </w:r>
      <w:r>
        <w:t>в течение десяти дней после предста</w:t>
      </w:r>
      <w:r>
        <w:t>в</w:t>
      </w:r>
      <w:r>
        <w:t xml:space="preserve">ления ему проекта изменений правил землепользования и застройки и указанных в </w:t>
      </w:r>
      <w:r>
        <w:fldChar w:fldCharType="begin"/>
      </w:r>
      <w:r>
        <w:instrText xml:space="preserve">HYPERLINK \l "p44" </w:instrText>
      </w:r>
      <w:r>
        <w:fldChar w:fldCharType="separate"/>
      </w:r>
      <w:r>
        <w:rPr>
          <w:color w:val="000000" w:themeColor="text1"/>
        </w:rPr>
        <w:t>части 15</w:t>
      </w:r>
      <w:r>
        <w:fldChar w:fldCharType="end"/>
      </w:r>
      <w:r>
        <w:t xml:space="preserve"> настоящей статьи обязательных приложений должен принять решение об утверждении внес</w:t>
      </w:r>
      <w:r>
        <w:t>е</w:t>
      </w:r>
      <w:r>
        <w:t>ния изменений в  правила землепользования и застройки (в случае принятия нормативного правового акта органа государственной власти субъекта Российской Федерации об утвержд</w:t>
      </w:r>
      <w:r>
        <w:t>е</w:t>
      </w:r>
      <w:r>
        <w:t>нии внесения изменений в  правила землепользования и застройки местной</w:t>
      </w:r>
      <w:r>
        <w:t xml:space="preserve"> администрацией),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</w:t>
      </w:r>
      <w:r>
        <w:t>т</w:t>
      </w:r>
      <w:r>
        <w:t>ку с указанием даты его повторного представления.</w:t>
      </w:r>
    </w:p>
    <w:p w14:paraId="0000018D">
      <w:pPr>
        <w:ind w:firstLine="851"/>
        <w:rPr/>
      </w:pPr>
      <w:r>
        <w:t>17. Требования к составу и порядку деятельности комиссии устанавливаются в соо</w:t>
      </w:r>
      <w:r>
        <w:t>т</w:t>
      </w:r>
      <w:r>
        <w:t xml:space="preserve">ветствии с Градостроительным Кодексом и законами </w:t>
      </w:r>
      <w:r>
        <w:t>Республики Мордовия</w:t>
      </w:r>
      <w:r>
        <w:t>, нормативными правовыми актами органов местного самоуправления.</w:t>
      </w:r>
    </w:p>
    <w:p w14:paraId="0000018E">
      <w:pPr>
        <w:pStyle w:val="Heading3"/>
        <w:rPr/>
      </w:pPr>
      <w:bookmarkStart w:id="215" w:name="_Toc89422072"/>
      <w:bookmarkStart w:id="216" w:name="_Toc159317557"/>
      <w:r>
        <w:t xml:space="preserve">Статья 17. </w:t>
      </w:r>
      <w:bookmarkEnd w:id="215"/>
      <w:r>
        <w:t>Порядок утверждения внесения изменений в правила землепользов</w:t>
      </w:r>
      <w:r>
        <w:t>а</w:t>
      </w:r>
      <w:r>
        <w:t>ния и застройки</w:t>
      </w:r>
      <w:bookmarkEnd w:id="216"/>
    </w:p>
    <w:p w14:paraId="0000018F">
      <w:pPr>
        <w:spacing w:before="240" w:line="180" w:lineRule="atLeast"/>
        <w:ind w:firstLine="851"/>
        <w:rPr/>
      </w:pPr>
      <w:r>
        <w:t>1. Внесение изменений в правила землепользования и застройки утверждаются пре</w:t>
      </w:r>
      <w:r>
        <w:t>д</w:t>
      </w:r>
      <w:r>
        <w:t>ставительным органом местного самоуправления или, если это предусмотрено законодател</w:t>
      </w:r>
      <w:r>
        <w:t>ь</w:t>
      </w:r>
      <w:r>
        <w:t xml:space="preserve">ством </w:t>
      </w:r>
      <w:r>
        <w:t>Республики Мордовия</w:t>
      </w:r>
      <w:r>
        <w:t xml:space="preserve"> о градостроительной деятельности, местной администрацией</w:t>
      </w:r>
      <w:r>
        <w:t xml:space="preserve"> муниципального района</w:t>
      </w:r>
      <w:r>
        <w:t>. Обязательными приложениями к проекту изменений правил земл</w:t>
      </w:r>
      <w:r>
        <w:t>е</w:t>
      </w:r>
      <w:r>
        <w:t>пользования и застройки являются протокол общественных обсуждений или публичных сл</w:t>
      </w:r>
      <w:r>
        <w:t>у</w:t>
      </w:r>
      <w:r>
        <w:t xml:space="preserve">шаний, заключение о результатах общественных обсуждений или публичных слушаний, за исключением случаев, если их проведение не требуется. </w:t>
      </w:r>
      <w:r>
        <w:t>Обязательным приложением к прое</w:t>
      </w:r>
      <w:r>
        <w:t>к</w:t>
      </w:r>
      <w:r>
        <w:t>ту изменений правил землепользования и застройки, подготовленному применительно к те</w:t>
      </w:r>
      <w:r>
        <w:t>р</w:t>
      </w:r>
      <w:r>
        <w:t>ритории населенного пункта, расположенного в границах особо охраняемой природной терр</w:t>
      </w:r>
      <w:r>
        <w:t>и</w:t>
      </w:r>
      <w:r>
        <w:t>тории, является документ, подтверждающий согласование проекта правил землепользования и застройки с федеральным органом исполнительной власти или органом исполнительной вл</w:t>
      </w:r>
      <w:r>
        <w:t>а</w:t>
      </w:r>
      <w:r>
        <w:t>сти субъекта Российской Федерации, в ведении которых находится особо охраняемая приро</w:t>
      </w:r>
      <w:r>
        <w:t>д</w:t>
      </w:r>
      <w:r>
        <w:t>ная территория.</w:t>
      </w:r>
    </w:p>
    <w:p w14:paraId="00000190">
      <w:pPr>
        <w:spacing w:before="240" w:line="180" w:lineRule="atLeast"/>
        <w:ind w:firstLine="851"/>
        <w:rPr/>
      </w:pPr>
      <w:r>
        <w:t xml:space="preserve">2. </w:t>
      </w:r>
      <w:r>
        <w:t>Представительный орган местного самоуправления по результатам рассмотрения проекта  внесения изменений в правила землепользования и застройки и обязательных прил</w:t>
      </w:r>
      <w:r>
        <w:t>о</w:t>
      </w:r>
      <w:r>
        <w:t xml:space="preserve">жений к нему может утвердить правила землепользования и застройки или направить проект правил землепользования и застройки главе </w:t>
      </w:r>
      <w:r>
        <w:t xml:space="preserve">администрации сельского поселения </w:t>
      </w:r>
      <w:r>
        <w:t>на доработку в соответствии с заключением о результатах общественных обсуждений или публичных сл</w:t>
      </w:r>
      <w:r>
        <w:t>у</w:t>
      </w:r>
      <w:r>
        <w:t>шаний по указанному проекту, за исключением случаев, если утверждение правил землепол</w:t>
      </w:r>
      <w:r>
        <w:t>ь</w:t>
      </w:r>
      <w:r>
        <w:t>зования</w:t>
      </w:r>
      <w:r>
        <w:t xml:space="preserve"> и застройки осуществляется главой </w:t>
      </w:r>
      <w:r>
        <w:t>администрации сельского поселения</w:t>
      </w:r>
      <w:r>
        <w:t xml:space="preserve"> в соотве</w:t>
      </w:r>
      <w:r>
        <w:t>т</w:t>
      </w:r>
      <w:r>
        <w:t xml:space="preserve">ствии с законодательством </w:t>
      </w:r>
      <w:r>
        <w:t>Республики Мордовия</w:t>
      </w:r>
      <w:r>
        <w:t xml:space="preserve"> </w:t>
      </w:r>
      <w:r>
        <w:t>о</w:t>
      </w:r>
      <w:r>
        <w:t xml:space="preserve"> градостроительной деятельности.</w:t>
      </w:r>
    </w:p>
    <w:p w14:paraId="00000191">
      <w:pPr>
        <w:spacing w:before="240" w:line="180" w:lineRule="atLeast"/>
        <w:ind w:firstLine="851"/>
        <w:rPr/>
      </w:pPr>
      <w:r>
        <w:t>3. Внесения изменений в правила землепользования и застройки подлежат опублик</w:t>
      </w:r>
      <w:r>
        <w:t>о</w:t>
      </w:r>
      <w:r>
        <w:t xml:space="preserve">ванию в порядке, установленном для официального опубликования муниципальных правовых </w:t>
      </w:r>
      <w:r>
        <w:t xml:space="preserve">актов, иной официальной информации, и размещаются на официальном сайте </w:t>
      </w:r>
      <w:r>
        <w:t>муниципальн</w:t>
      </w:r>
      <w:r>
        <w:t>о</w:t>
      </w:r>
      <w:r>
        <w:t>го образования</w:t>
      </w:r>
      <w:r>
        <w:t xml:space="preserve"> (при наличии официального сайта </w:t>
      </w:r>
      <w:r>
        <w:t>муниципального образования</w:t>
      </w:r>
      <w:r>
        <w:t>) в сети "И</w:t>
      </w:r>
      <w:r>
        <w:t>н</w:t>
      </w:r>
      <w:r>
        <w:t>тернет".</w:t>
      </w:r>
    </w:p>
    <w:p w14:paraId="00000192">
      <w:pPr>
        <w:spacing w:before="240" w:line="180" w:lineRule="atLeast"/>
        <w:ind w:firstLine="851"/>
        <w:rPr/>
      </w:pPr>
      <w:r>
        <w:t xml:space="preserve">3.1. Утвержденные изменения в  правила землепользования и застройки подлежат размещению в федеральной государственной информационной системе территориального планирования не </w:t>
      </w:r>
      <w:r>
        <w:t>позднее</w:t>
      </w:r>
      <w:r>
        <w:t xml:space="preserve"> чем по истечении десяти дней с даты утверждения указанных пр</w:t>
      </w:r>
      <w:r>
        <w:t>а</w:t>
      </w:r>
      <w:r>
        <w:t>вил.</w:t>
      </w:r>
    </w:p>
    <w:p w14:paraId="00000193">
      <w:pPr>
        <w:spacing w:before="240" w:line="180" w:lineRule="atLeast"/>
        <w:ind w:firstLine="851"/>
        <w:rPr/>
      </w:pPr>
      <w:r>
        <w:t>4. Физические и юридические лица вправе оспорить решение об утверждении внес</w:t>
      </w:r>
      <w:r>
        <w:t>е</w:t>
      </w:r>
      <w:r>
        <w:t>ния изменений в  правила землепользования и застройки в судебном порядке.</w:t>
      </w:r>
    </w:p>
    <w:p w14:paraId="00000194">
      <w:pPr>
        <w:spacing w:before="240" w:line="180" w:lineRule="atLeast"/>
        <w:ind w:firstLine="851"/>
        <w:rPr/>
      </w:pPr>
      <w:r>
        <w:t xml:space="preserve">5. </w:t>
      </w:r>
      <w:r>
        <w:t xml:space="preserve">Органы государственной власти Российской Федерации, органы государственной власти </w:t>
      </w:r>
      <w:r>
        <w:t>Республики Мордовия</w:t>
      </w:r>
      <w:r>
        <w:t xml:space="preserve"> вправе оспорить решение об утверждении  изменений правил землепользования и застройки в судебном порядке в случае несоответствия правил землепол</w:t>
      </w:r>
      <w:r>
        <w:t>ь</w:t>
      </w:r>
      <w:r>
        <w:t>зования и застройки законодательству Российской Федерации, а также схемам территориал</w:t>
      </w:r>
      <w:r>
        <w:t>ь</w:t>
      </w:r>
      <w:r>
        <w:t xml:space="preserve">ного планирования Российской Федерации, схемам территориального планирования </w:t>
      </w:r>
      <w:r>
        <w:t>Респу</w:t>
      </w:r>
      <w:r>
        <w:t>б</w:t>
      </w:r>
      <w:r>
        <w:t>лики Мордовия</w:t>
      </w:r>
      <w:r>
        <w:t>, утвержденным до утверждения правил землепользования и застройки.</w:t>
      </w:r>
    </w:p>
    <w:p w14:paraId="00000195">
      <w:pPr>
        <w:spacing w:before="240"/>
        <w:ind w:firstLine="851"/>
        <w:rPr/>
      </w:pPr>
      <w:r>
        <w:t xml:space="preserve">6. </w:t>
      </w:r>
      <w:r>
        <w:t>Изменения в правила землепользования и застройки, устанавливающие градостро</w:t>
      </w:r>
      <w:r>
        <w:t>и</w:t>
      </w:r>
      <w:r>
        <w:t>тельные регламенты применительно к земельным участкам, включенным в границы населе</w:t>
      </w:r>
      <w:r>
        <w:t>н</w:t>
      </w:r>
      <w:r>
        <w:t>ных пунктов из земель лесного фонда (за исключением лесных участков, которые до 1 января 2016 года предоставлены гражданам или юридическим лицам либо на которых расположены объекты недвижимого имущества, права на которые возникли до 1 января 2016 года, и разр</w:t>
      </w:r>
      <w:r>
        <w:t>е</w:t>
      </w:r>
      <w:r>
        <w:t>шенное использование либо назначение которых до</w:t>
      </w:r>
      <w:r>
        <w:t xml:space="preserve"> их включения в границы населенных пунктов не было связано с использованием лесов), могут быть утверждены не ранее чем по истечении одного года со дня включения указанных земельных участков в границы населе</w:t>
      </w:r>
      <w:r>
        <w:t>н</w:t>
      </w:r>
      <w:r>
        <w:t>ных пунктов.</w:t>
      </w:r>
    </w:p>
    <w:p w14:paraId="00000196">
      <w:pPr>
        <w:pStyle w:val="Heading2"/>
        <w:spacing w:before="240"/>
        <w:rPr>
          <w:rFonts w:eastAsia="GOST Type AU"/>
          <w:lang w:eastAsia="ar-SA"/>
        </w:rPr>
      </w:pPr>
      <w:bookmarkStart w:id="217" w:name="_Toc465786395"/>
      <w:bookmarkStart w:id="218" w:name="_Toc89422073"/>
      <w:bookmarkStart w:id="219" w:name="_Toc159317558"/>
      <w:r>
        <w:rPr>
          <w:rFonts w:eastAsia="GOST Type AU"/>
          <w:lang w:eastAsia="ar-SA"/>
        </w:rPr>
        <w:t xml:space="preserve">Глава 7. </w:t>
      </w:r>
      <w:bookmarkEnd w:id="217"/>
      <w:bookmarkEnd w:id="218"/>
      <w:r>
        <w:rPr>
          <w:rFonts w:eastAsia="GOST Type AU"/>
          <w:lang w:eastAsia="ar-SA"/>
        </w:rPr>
        <w:t>Положение о регулировании иных вопросов землепользования и застройки</w:t>
      </w:r>
      <w:bookmarkEnd w:id="219"/>
    </w:p>
    <w:p w14:paraId="00000197">
      <w:pPr>
        <w:pStyle w:val="Heading3"/>
        <w:rPr/>
      </w:pPr>
      <w:bookmarkStart w:id="220" w:name="_Toc89422074"/>
      <w:bookmarkStart w:id="221" w:name="_Toc159317559"/>
      <w:r>
        <w:t>Статья 18. Отклонение от предельных параметров разрешенного строительства, реконструкции объектов капитального строительства</w:t>
      </w:r>
      <w:bookmarkEnd w:id="220"/>
      <w:bookmarkEnd w:id="221"/>
    </w:p>
    <w:p w14:paraId="00000198">
      <w:pPr>
        <w:widowControl w:val="off"/>
        <w:numPr>
          <w:ilvl w:val="0"/>
          <w:numId w:val="42"/>
        </w:numPr>
        <w:ind w:left="0" w:right="-2" w:firstLine="709"/>
        <w:rPr/>
      </w:pPr>
      <w:bookmarkStart w:id="222" w:name="sub_4001"/>
      <w:r>
        <w:t>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</w:t>
      </w:r>
      <w:r>
        <w:t>у</w:t>
      </w:r>
      <w:r>
        <w:t>рация, инженерно-геологические или иные характеристики, которых неблагоприятны для з</w:t>
      </w:r>
      <w:r>
        <w:t>а</w:t>
      </w:r>
      <w:r>
        <w:t>стройки, вправе обратиться за разрешениями на отклонение от предельных параметров разр</w:t>
      </w:r>
      <w:r>
        <w:t>е</w:t>
      </w:r>
      <w:r>
        <w:t>шенного строительства, реконструкции объектов капитального строительства.</w:t>
      </w:r>
    </w:p>
    <w:p w14:paraId="00000199">
      <w:pPr>
        <w:widowControl w:val="off"/>
        <w:rPr>
          <w:color w:val="000000"/>
        </w:rPr>
      </w:pPr>
      <w:r>
        <w:rPr>
          <w:color w:val="000000"/>
        </w:rPr>
        <w:t>1.1 Правообладатели земельных участков вправе обратиться за разрешениями на о</w:t>
      </w:r>
      <w:r>
        <w:rPr>
          <w:color w:val="000000"/>
        </w:rPr>
        <w:t>т</w:t>
      </w:r>
      <w:r>
        <w:rPr>
          <w:color w:val="000000"/>
        </w:rPr>
        <w:t>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</w:t>
      </w:r>
      <w:r>
        <w:rPr>
          <w:color w:val="000000"/>
        </w:rPr>
        <w:t>е</w:t>
      </w:r>
      <w:r>
        <w:rPr>
          <w:color w:val="000000"/>
        </w:rPr>
        <w:t>нения одного или нескольких предельных параметров разрешенного строительства, реко</w:t>
      </w:r>
      <w:r>
        <w:rPr>
          <w:color w:val="000000"/>
        </w:rPr>
        <w:t>н</w:t>
      </w:r>
      <w:r>
        <w:rPr>
          <w:color w:val="000000"/>
        </w:rPr>
        <w:t>струкции объектов капитального строительства, установленных градостроительным регламе</w:t>
      </w:r>
      <w:r>
        <w:rPr>
          <w:color w:val="000000"/>
        </w:rPr>
        <w:t>н</w:t>
      </w:r>
      <w:r>
        <w:rPr>
          <w:color w:val="000000"/>
        </w:rPr>
        <w:t>том для конкретной территориальной зоны, не более чем на десять процентов.</w:t>
      </w:r>
    </w:p>
    <w:p w14:paraId="0000019A">
      <w:pPr>
        <w:widowControl w:val="off"/>
        <w:rPr/>
      </w:pPr>
      <w:bookmarkEnd w:id="222"/>
      <w:r>
        <w:t>2.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</w:t>
      </w:r>
      <w:r>
        <w:t>о</w:t>
      </w:r>
      <w:r>
        <w:t>блюдении требований технических регламентов. Отклонение от предельных параметров ра</w:t>
      </w:r>
      <w:r>
        <w:t>з</w:t>
      </w:r>
      <w:r>
        <w:t>решенного строительства, реконструкции объектов капитального строительства в части пр</w:t>
      </w:r>
      <w:r>
        <w:t>е</w:t>
      </w:r>
      <w:r>
        <w:t xml:space="preserve">дельного количества этажей, предельной высоты зданий, строений, сооружений и требований к </w:t>
      </w:r>
      <w:r>
        <w:t>архитектурным решениям</w:t>
      </w:r>
      <w:r>
        <w:t xml:space="preserve"> объектов капитального строительства в границах территорий и</w:t>
      </w:r>
      <w:r>
        <w:t>с</w:t>
      </w:r>
      <w:r>
        <w:t>торических поселений федерального или регионального значения не допускается.</w:t>
      </w:r>
    </w:p>
    <w:p w14:paraId="0000019B">
      <w:pPr>
        <w:rPr>
          <w:rFonts w:ascii="Verdana" w:hAnsi="Verdana"/>
          <w:sz w:val="21"/>
          <w:szCs w:val="21"/>
        </w:rPr>
      </w:pPr>
      <w:bookmarkStart w:id="223" w:name="sub_4003"/>
      <w:r>
        <w:t xml:space="preserve">3.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</w:t>
      </w:r>
      <w:r>
        <w:rPr>
          <w:color w:val="000000"/>
        </w:rPr>
        <w:t>Заявление о пред</w:t>
      </w:r>
      <w:r>
        <w:rPr>
          <w:color w:val="000000"/>
        </w:rPr>
        <w:t>о</w:t>
      </w:r>
      <w:r>
        <w:rPr>
          <w:color w:val="000000"/>
        </w:rPr>
        <w:t>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</w:t>
      </w:r>
      <w:r>
        <w:rPr>
          <w:color w:val="000000"/>
        </w:rPr>
        <w:t>к</w:t>
      </w:r>
      <w:r>
        <w:rPr>
          <w:color w:val="000000"/>
        </w:rPr>
        <w:t>тронного документа, подписанного электронной подписью.</w:t>
      </w:r>
    </w:p>
    <w:p w14:paraId="0000019C">
      <w:pPr>
        <w:widowControl w:val="off"/>
        <w:rPr/>
      </w:pPr>
      <w:bookmarkEnd w:id="223"/>
      <w:bookmarkStart w:id="224" w:name="sub_4004"/>
      <w:r>
        <w:t xml:space="preserve">4. </w:t>
      </w:r>
      <w:r>
        <w:t>Проект решения о предоставлении разрешения на отклонение от предельных пар</w:t>
      </w:r>
      <w:r>
        <w:t>а</w:t>
      </w:r>
      <w:r>
        <w:t xml:space="preserve">метров разрешенного строительства, реконструкции объектов капитального строительства </w:t>
      </w:r>
      <w:r>
        <w:rPr>
          <w:color w:val="000000"/>
        </w:rPr>
        <w:t>подготавливается в течение пятнадцати рабочих дней со дня поступления заявления о пред</w:t>
      </w:r>
      <w:r>
        <w:rPr>
          <w:color w:val="000000"/>
        </w:rPr>
        <w:t>о</w:t>
      </w:r>
      <w:r>
        <w:rPr>
          <w:color w:val="000000"/>
        </w:rPr>
        <w:t xml:space="preserve">ставлении такого разрешения и </w:t>
      </w:r>
      <w:r>
        <w:t xml:space="preserve">подлежит рассмотрению на публичных слушаниях </w:t>
      </w:r>
      <w:r>
        <w:rPr>
          <w:color w:val="000000"/>
          <w:szCs w:val="28"/>
        </w:rPr>
        <w:t>или общ</w:t>
      </w:r>
      <w:r>
        <w:rPr>
          <w:color w:val="000000"/>
          <w:szCs w:val="28"/>
        </w:rPr>
        <w:t>е</w:t>
      </w:r>
      <w:r>
        <w:rPr>
          <w:color w:val="000000"/>
          <w:szCs w:val="28"/>
        </w:rPr>
        <w:t>ственных обсуждений</w:t>
      </w:r>
      <w:r>
        <w:t xml:space="preserve">, проводимых в порядке, предусмотренном Главой 5 настоящих Правил, с учетом положений Главы 3 настоящих Правил, </w:t>
      </w:r>
      <w:r>
        <w:rPr>
          <w:color w:val="000000"/>
        </w:rPr>
        <w:t>за исключением случая, указанного в части</w:t>
      </w:r>
      <w:r>
        <w:rPr>
          <w:color w:val="000000"/>
        </w:rPr>
        <w:t xml:space="preserve"> 1.1 настоящей статьи. </w:t>
      </w:r>
      <w:r>
        <w:t>Расходы, связанные с организацией и проведением публичных слуш</w:t>
      </w:r>
      <w:r>
        <w:t>а</w:t>
      </w:r>
      <w:r>
        <w:t>ний или общественных обсуждений по проекту решения о предоставлении разрешения на о</w:t>
      </w:r>
      <w:r>
        <w:t>т</w:t>
      </w:r>
      <w:r>
        <w:t>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14:paraId="0000019D">
      <w:pPr>
        <w:widowControl w:val="off"/>
        <w:ind w:firstLine="720"/>
        <w:rPr>
          <w:color w:val="ff0000"/>
        </w:rPr>
      </w:pPr>
      <w:bookmarkEnd w:id="224"/>
      <w:bookmarkStart w:id="225" w:name="sub_4005"/>
      <w:r>
        <w:t xml:space="preserve">5. </w:t>
      </w:r>
      <w:r>
        <w:t>На основании заключения о результатах публичных слушаний по проекту решения о предоставлении разрешения на отклонение от предельных параметров разрешенного стро</w:t>
      </w:r>
      <w:r>
        <w:t>и</w:t>
      </w:r>
      <w:r>
        <w:t xml:space="preserve">тельства, реконструкции объектов капитального строительства комиссия </w:t>
      </w:r>
      <w:r>
        <w:rPr>
          <w:color w:val="000000"/>
        </w:rPr>
        <w:t>в течение пятнадцати рабочих дней со дня окончания таких обсуждений или слушаний</w:t>
      </w:r>
      <w:r>
        <w:rPr>
          <w:color w:val="ff0000"/>
        </w:rPr>
        <w:t xml:space="preserve"> </w:t>
      </w:r>
      <w:r>
        <w:t xml:space="preserve">осуществляет подготовку </w:t>
      </w:r>
      <w:r>
        <w:t>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</w:t>
      </w:r>
      <w:r>
        <w:t xml:space="preserve"> главе муниципального образования</w:t>
      </w:r>
      <w:r>
        <w:t xml:space="preserve"> </w:t>
      </w:r>
      <w:r>
        <w:t>Берсеневского</w:t>
      </w:r>
      <w:r>
        <w:t xml:space="preserve"> сельского поселения</w:t>
      </w:r>
      <w:r>
        <w:t xml:space="preserve"> </w:t>
      </w:r>
      <w:bookmarkStart w:id="226" w:name="_GoBack"/>
      <w:bookmarkEnd w:id="226"/>
      <w:r>
        <w:t>Л</w:t>
      </w:r>
      <w:r>
        <w:t>ямбирского</w:t>
      </w:r>
      <w:r>
        <w:t xml:space="preserve"> муниц</w:t>
      </w:r>
      <w:r>
        <w:t>и</w:t>
      </w:r>
      <w:r>
        <w:t>пального района</w:t>
      </w:r>
      <w:r>
        <w:t>.</w:t>
      </w:r>
    </w:p>
    <w:p w14:paraId="0000019E">
      <w:pPr>
        <w:widowControl w:val="off"/>
        <w:ind w:firstLine="720"/>
        <w:rPr/>
      </w:pPr>
      <w:bookmarkEnd w:id="225"/>
      <w:bookmarkStart w:id="227" w:name="sub_4006"/>
      <w:r>
        <w:t xml:space="preserve">6. Глава </w:t>
      </w:r>
      <w:r>
        <w:t xml:space="preserve">администрации </w:t>
      </w:r>
      <w:r>
        <w:t>Берсеневского</w:t>
      </w:r>
      <w:r>
        <w:t xml:space="preserve"> сельского поселения </w:t>
      </w:r>
      <w:r>
        <w:t>Лямбирского</w:t>
      </w:r>
      <w:r>
        <w:t xml:space="preserve"> муниципал</w:t>
      </w:r>
      <w:r>
        <w:t>ь</w:t>
      </w:r>
      <w:r>
        <w:t>ного района</w:t>
      </w:r>
      <w:r>
        <w:t xml:space="preserve"> </w:t>
      </w:r>
      <w:r>
        <w:t>в течение семи дней со дня поступления рекомендаций принимает решение о предоставлении</w:t>
      </w:r>
      <w:r>
        <w:t xml:space="preserve"> разрешения на отклонение от предельных параметров разрешенного стро</w:t>
      </w:r>
      <w:r>
        <w:t>и</w:t>
      </w:r>
      <w:r>
        <w:t>тельства, реконструкции объектов капитального строительства или об отказе в предоставл</w:t>
      </w:r>
      <w:r>
        <w:t>е</w:t>
      </w:r>
      <w:r>
        <w:t>нии такого разрешения с указанием причин принятого решения.</w:t>
      </w:r>
    </w:p>
    <w:p w14:paraId="0000019F">
      <w:pPr>
        <w:widowControl w:val="off"/>
        <w:ind w:firstLine="720"/>
        <w:rPr/>
      </w:pPr>
      <w:bookmarkEnd w:id="227"/>
      <w: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</w:t>
      </w:r>
      <w:r>
        <w:t>и</w:t>
      </w:r>
      <w:r>
        <w:t>тельства, реконструкции объектов капитального строительства или об отказе в предоставл</w:t>
      </w:r>
      <w:r>
        <w:t>е</w:t>
      </w:r>
      <w:r>
        <w:t>нии такого разрешения.</w:t>
      </w:r>
    </w:p>
    <w:p w14:paraId="000001A0">
      <w:pPr>
        <w:widowControl w:val="off"/>
        <w:numPr>
          <w:ilvl w:val="0"/>
          <w:numId w:val="43"/>
        </w:numPr>
        <w:ind w:left="0" w:right="-2" w:firstLine="709"/>
        <w:rPr/>
      </w:pPr>
      <w:r>
        <w:t xml:space="preserve"> </w:t>
      </w:r>
      <w:r>
        <w:t>В случае однократного изменения видов разрешенного использования, устано</w:t>
      </w:r>
      <w:r>
        <w:t>в</w:t>
      </w:r>
      <w:r>
        <w:t>ленных градостроительным регламентом для конкретной территориальной зоны, без измен</w:t>
      </w:r>
      <w:r>
        <w:t>е</w:t>
      </w:r>
      <w:r>
        <w:t>ния ранее установленных предельных параметров разрешенного строительства, реконстру</w:t>
      </w:r>
      <w:r>
        <w:t>к</w:t>
      </w:r>
      <w:r>
        <w:t>ции объектов капитального строительства и (или) в случае однократного изменения одного или нескольких предельных параметров разрешенного строительства, реконструкции объе</w:t>
      </w:r>
      <w:r>
        <w:t>к</w:t>
      </w:r>
      <w:r>
        <w:t>тов капитального строительства, установленных градостроительным регламентом для ко</w:t>
      </w:r>
      <w:r>
        <w:t>н</w:t>
      </w:r>
      <w:r>
        <w:t>кретной территориальной зоны, не более чем на десять процентов проведение общественных обсуждений или</w:t>
      </w:r>
      <w:r>
        <w:t xml:space="preserve"> публичных слушаний, опубликование сообщения о принятии решения о по</w:t>
      </w:r>
      <w:r>
        <w:t>д</w:t>
      </w:r>
      <w:r>
        <w:t>готовке проекта о внесении изменений в правила землепользования и застройки и подготовка заключения комиссии не требуются.</w:t>
      </w:r>
    </w:p>
    <w:p w14:paraId="000001A1">
      <w:pPr>
        <w:ind w:firstLine="720"/>
        <w:rPr>
          <w:color w:val="000000"/>
        </w:rPr>
      </w:pPr>
      <w:r>
        <w:rPr>
          <w:color w:val="000000"/>
        </w:rPr>
        <w:t>9.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</w:t>
      </w:r>
      <w:r>
        <w:rPr>
          <w:color w:val="000000"/>
        </w:rPr>
        <w:t>а</w:t>
      </w:r>
      <w:r>
        <w:rPr>
          <w:color w:val="000000"/>
        </w:rPr>
        <w:t>кое отклонение не соответствует ограничениям использования объектов недвижимости, уст</w:t>
      </w:r>
      <w:r>
        <w:rPr>
          <w:color w:val="000000"/>
        </w:rPr>
        <w:t>а</w:t>
      </w:r>
      <w:r>
        <w:rPr>
          <w:color w:val="000000"/>
        </w:rPr>
        <w:t xml:space="preserve">новленным на </w:t>
      </w:r>
      <w:r>
        <w:rPr>
          <w:color w:val="000000"/>
        </w:rPr>
        <w:t>приаэродромной</w:t>
      </w:r>
      <w:r>
        <w:rPr>
          <w:color w:val="000000"/>
        </w:rPr>
        <w:t xml:space="preserve"> территории.</w:t>
      </w:r>
    </w:p>
    <w:p w14:paraId="000001A2">
      <w:pPr>
        <w:pStyle w:val="Heading3"/>
        <w:rPr/>
      </w:pPr>
      <w:bookmarkStart w:id="228" w:name="_Toc147915956"/>
      <w:bookmarkStart w:id="229" w:name="_Toc159317560"/>
      <w:r>
        <w:t>Статья 18.1 Архитектурно-градостроительный облик объекта капитального строительства</w:t>
      </w:r>
      <w:bookmarkEnd w:id="228"/>
      <w:bookmarkEnd w:id="229"/>
    </w:p>
    <w:p w14:paraId="000001A3">
      <w:pPr>
        <w:shd w:val="clear" w:color="auto" w:fill="ffffff"/>
        <w:rPr/>
      </w:pPr>
    </w:p>
    <w:p w14:paraId="000001A4">
      <w:pPr>
        <w:shd w:val="clear" w:color="auto" w:fill="ffffff"/>
        <w:ind w:firstLine="851"/>
        <w:rPr/>
      </w:pPr>
      <w:r>
        <w:t>1. Архитектурно-градостроительный облик объекта капитального строительства по</w:t>
      </w:r>
      <w:r>
        <w:t>д</w:t>
      </w:r>
      <w:r>
        <w:t>лежит согласованию с уполномоченным органом местного самоуправления при осуществл</w:t>
      </w:r>
      <w:r>
        <w:t>е</w:t>
      </w:r>
      <w:r>
        <w:t>нии строительства, реконструкции объекта капитального строительства в границах террит</w:t>
      </w:r>
      <w:r>
        <w:t>о</w:t>
      </w:r>
      <w:r>
        <w:t>рий, за исключением случаев, предусмотренных </w:t>
      </w:r>
      <w:r>
        <w:fldChar w:fldCharType="begin"/>
      </w:r>
      <w:r>
        <w:instrText xml:space="preserve">HYPERLINK "https://www.consultant.ru/document/cons_doc_LAW_436411/70ac306826bc92daa560ad83d22d3b26c2834b8b/" \l "dst4074" </w:instrText>
      </w:r>
      <w:r>
        <w:fldChar w:fldCharType="separate"/>
      </w:r>
      <w:r>
        <w:t>частью 2</w:t>
      </w:r>
      <w:r>
        <w:fldChar w:fldCharType="end"/>
      </w:r>
      <w:r>
        <w:t> настоящей статьи.</w:t>
      </w:r>
    </w:p>
    <w:p w14:paraId="000001A5">
      <w:pPr>
        <w:ind w:firstLine="851"/>
        <w:rPr/>
      </w:pPr>
      <w:r>
        <w:t>2. Согласование архитектурно-градостроительного облика объекта капитального строительства не требуется в отношении:</w:t>
      </w:r>
    </w:p>
    <w:p w14:paraId="000001A6">
      <w:pPr>
        <w:shd w:val="clear" w:color="auto" w:fill="ffffff"/>
        <w:spacing w:before="210"/>
        <w:ind w:firstLine="851"/>
        <w:rPr/>
      </w:pPr>
      <w:r>
        <w:t>1) объектов капитального строительства, расположенных на земельных участках, де</w:t>
      </w:r>
      <w:r>
        <w:t>й</w:t>
      </w:r>
      <w:r>
        <w:t>ствие градостроительного регламента на которые не распространяется;</w:t>
      </w:r>
    </w:p>
    <w:p w14:paraId="000001A7">
      <w:pPr>
        <w:shd w:val="clear" w:color="auto" w:fill="ffffff"/>
        <w:spacing w:before="210"/>
        <w:ind w:firstLine="851"/>
        <w:rPr/>
      </w:pPr>
      <w:r>
        <w:t>2) объектов, для строительства или реконструкции которых не требуется получение разрешения на строительство;</w:t>
      </w:r>
    </w:p>
    <w:p w14:paraId="000001A8">
      <w:pPr>
        <w:shd w:val="clear" w:color="auto" w:fill="ffffff"/>
        <w:spacing w:before="210"/>
        <w:ind w:firstLine="851"/>
        <w:rPr/>
      </w:pPr>
      <w:r>
        <w:t>3) объектов, расположенных на земельных участках, находящихся в пользовании учреждений, исполняющих наказание;</w:t>
      </w:r>
    </w:p>
    <w:p w14:paraId="000001A9">
      <w:pPr>
        <w:shd w:val="clear" w:color="auto" w:fill="ffffff"/>
        <w:spacing w:before="210"/>
        <w:ind w:firstLine="851"/>
        <w:rPr/>
      </w:pPr>
      <w:r>
        <w:t>4) объектов обороны и безопасности, объектов Вооруженных Сил Российской Фед</w:t>
      </w:r>
      <w:r>
        <w:t>е</w:t>
      </w:r>
      <w:r>
        <w:t>рации, других войск, воинских формирований и органов, осуществляющих функции в области обороны страны и безопасности государства;</w:t>
      </w:r>
    </w:p>
    <w:p w14:paraId="000001AA">
      <w:pPr>
        <w:ind w:firstLine="851"/>
        <w:rPr/>
      </w:pPr>
      <w:r>
        <w:t>5) иных объектов, определенных Правительством Российской Федерации, нормати</w:t>
      </w:r>
      <w:r>
        <w:t>в</w:t>
      </w:r>
      <w:r>
        <w:t>ными правовыми актами органов государственной власти субъектов Российской Федерации.</w:t>
      </w:r>
    </w:p>
    <w:p w14:paraId="000001AB">
      <w:pPr>
        <w:ind w:firstLine="851"/>
        <w:rPr/>
      </w:pPr>
      <w:r>
        <w:t>3. Срок выдачи согласования архитектурно-градостроительного облика объекта кап</w:t>
      </w:r>
      <w:r>
        <w:t>и</w:t>
      </w:r>
      <w:r>
        <w:t>тального строительства не может превышать десять рабочих дней.</w:t>
      </w:r>
    </w:p>
    <w:p w14:paraId="000001AC">
      <w:pPr>
        <w:ind w:firstLine="851"/>
        <w:rPr/>
      </w:pPr>
      <w:r>
        <w:t xml:space="preserve">4. Основанием для отказа в согласовании архитектурно-градостроительного облика объекта капитального строительства является несоответствие </w:t>
      </w:r>
      <w:r>
        <w:t>архитектурных решений</w:t>
      </w:r>
      <w:r>
        <w:t xml:space="preserve"> объекта капитального строительства, определяющих его архитектурно-градостроительный облик и с</w:t>
      </w:r>
      <w:r>
        <w:t>о</w:t>
      </w:r>
      <w:r>
        <w:t>держащихся в проектной документации либо в задании застройщика или технического зака</w:t>
      </w:r>
      <w:r>
        <w:t>з</w:t>
      </w:r>
      <w:r>
        <w:t>чика на проектирование объекта капитального строительства, требованиям к архитектурно-градостроительному облику объекта капитального строительства, указанным в градостро</w:t>
      </w:r>
      <w:r>
        <w:t>и</w:t>
      </w:r>
      <w:r>
        <w:t>тельном регламенте.</w:t>
      </w:r>
    </w:p>
    <w:p w14:paraId="000001AD">
      <w:pPr>
        <w:ind w:firstLine="851"/>
        <w:rPr/>
      </w:pPr>
      <w:r>
        <w:t>5. Порядок согласования архитектурно-градостроительного облика объекта капитал</w:t>
      </w:r>
      <w:r>
        <w:t>ь</w:t>
      </w:r>
      <w:r>
        <w:t>ного строительства устанавливается Правительством Российской Федерации, если иное не предусмотрено Градостроительным Кодексом РФ.</w:t>
      </w:r>
    </w:p>
    <w:p w14:paraId="000001AE">
      <w:pPr>
        <w:ind w:firstLine="720"/>
        <w:rPr>
          <w:color w:val="000000"/>
        </w:rPr>
      </w:pPr>
    </w:p>
    <w:p w14:paraId="000001AF">
      <w:pPr>
        <w:ind w:firstLine="720"/>
        <w:rPr>
          <w:color w:val="000000"/>
        </w:rPr>
      </w:pPr>
    </w:p>
    <w:p w14:paraId="000001B0">
      <w:pPr>
        <w:ind w:firstLine="720"/>
        <w:rPr>
          <w:rFonts w:ascii="Verdana" w:hAnsi="Verdana"/>
          <w:color w:val="000000"/>
          <w:sz w:val="21"/>
          <w:szCs w:val="21"/>
        </w:rPr>
      </w:pPr>
    </w:p>
    <w:sectPr>
      <w:headerReference w:type="default" r:id="rId46"/>
      <w:footerReference w:type="default" r:id="rId47"/>
      <w:pgSz w:w="11906" w:h="16838"/>
      <w:pgMar w:top="426" w:right="991" w:bottom="851" w:left="1134" w:header="709" w:footer="709" w:gutter="0"/>
      <w:pgBorders w:display="firstPage" w:offsetFrom="page" w:zOrder="front">
        <w:top w:val="triple" w:color="984806" w:sz="4" w:space="24"/>
        <w:left w:val="triple" w:color="984806" w:sz="4" w:space="31"/>
        <w:right w:val="triple" w:color="984806" w:sz="4" w:space="24"/>
        <w:bottom w:val="triple" w:color="984806" w:sz="4" w:space="24"/>
      </w:pgBorders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endnote w:type="separator" w:id="0">
    <w:p w14:paraId="00000003">
      <w:r>
        <w:rPr/>
        <w:separator/>
      </w:r>
    </w:p>
  </w:endnote>
  <w:endnote w:type="continuationSeparator" w:id="1">
    <w:p w14:paraId="00000004"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Helvetica">
    <w:panose1 w:val="020b0604020202020204"/>
    <w:charset w:val="00"/>
    <w:family w:val="swiss"/>
    <w:notTrueType w:val="o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TimesET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eterburg">
    <w:altName w:val="Times New Roman"/>
    <w:charset w:val="cc"/>
    <w:family w:val="auto"/>
    <w:pitch w:val="default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libri Light">
    <w:panose1 w:val="020f0302020204030204"/>
    <w:charset w:val="cc"/>
    <w:family w:val="swiss"/>
    <w:pitch w:val="variable"/>
    <w:sig w:usb0="00000000" w:usb1="4000207b" w:usb2="00000000" w:usb3="00000000" w:csb0="0000019f" w:csb1="00000000"/>
  </w:font>
  <w:font w:name="ArialMT">
    <w:altName w:val="Times New Roman"/>
    <w:panose1 w:val="00000000000000000000"/>
    <w:charset w:val="00"/>
    <w:family w:val="roman"/>
    <w:notTrueType w:val="on"/>
    <w:pitch w:val="default"/>
  </w:font>
  <w:font w:name="GOST Type AU">
    <w:charset w:val="cc"/>
    <w:family w:val="auto"/>
    <w:pitch w:val="variable"/>
    <w:sig w:usb0="00000000" w:usb1="1000004a" w:usb2="00000000" w:usb3="00000000" w:csb0="0000019f" w:csb1="00000000"/>
  </w:font>
  <w:font w:name="Verdana">
    <w:panose1 w:val="020b0604030504040204"/>
    <w:charset w:val="cc"/>
    <w:family w:val="swiss"/>
    <w:pitch w:val="variable"/>
    <w:sig w:usb0="00000000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1B3">
    <w:pPr>
      <w:pStyle w:val="Footer"/>
      <w:pBdr>
        <w:top w:val="thinThickSmallGap" w:color="622423" w:sz="24" w:space="1"/>
      </w:pBdr>
      <w:tabs>
        <w:tab w:val="clear" w:pos="4153"/>
        <w:tab w:val="clear" w:pos="8306"/>
        <w:tab w:val="right" w:pos="9355"/>
      </w:tabs>
      <w:rPr>
        <w:rFonts w:ascii="Cambria" w:hAnsi="Cambria"/>
      </w:rPr>
    </w:pPr>
    <w:r>
      <w:rPr>
        <w:color w:val="c0504d"/>
      </w:rPr>
      <w:t>Страница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hAnsi="Cambria"/>
        <w:color w:val="c0504d"/>
      </w:rPr>
      <w:t>32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footnote w:type="separator" w:id="0">
    <w:p w14:paraId="00000001">
      <w:r>
        <w:rPr/>
        <w:separator/>
      </w:r>
    </w:p>
  </w:footnote>
  <w:footnote w:type="continuationSeparator" w:id="1">
    <w:p w14:paraId="00000002"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1B1">
    <w:pPr>
      <w:pStyle w:val="Header"/>
      <w:pBdr>
        <w:bottom w:val="thickThinSmallGap" w:color="622423" w:sz="24" w:space="1"/>
      </w:pBdr>
      <w:ind w:firstLine="0"/>
      <w:jc w:val="center"/>
      <w:rPr>
        <w:color w:val="c0504d"/>
      </w:rPr>
    </w:pPr>
    <w:r>
      <w:rPr>
        <w:color w:val="c0504d"/>
      </w:rPr>
      <w:t>Правила землепользования и застройки</w:t>
    </w:r>
    <w:r>
      <w:rPr>
        <w:color w:val="c0504d"/>
      </w:rPr>
      <w:t xml:space="preserve"> </w:t>
    </w:r>
    <w:r>
      <w:rPr>
        <w:color w:val="c0504d"/>
      </w:rPr>
      <w:t>Берсенев</w:t>
    </w:r>
    <w:r>
      <w:rPr>
        <w:color w:val="c0504d"/>
      </w:rPr>
      <w:t>ского</w:t>
    </w:r>
    <w:r>
      <w:rPr>
        <w:color w:val="c0504d"/>
      </w:rPr>
      <w:t xml:space="preserve"> сельского поселения</w:t>
    </w:r>
  </w:p>
  <w:p w14:paraId="000001B2">
    <w:pPr>
      <w:pStyle w:val="Header"/>
      <w:pBdr>
        <w:bottom w:val="thickThinSmallGap" w:color="622423" w:sz="24" w:space="1"/>
      </w:pBdr>
      <w:ind w:firstLine="0"/>
      <w:jc w:val="center"/>
      <w:rPr>
        <w:color w:val="c0504d"/>
      </w:rPr>
    </w:pPr>
    <w:r>
      <w:rPr>
        <w:color w:val="c0504d"/>
      </w:rPr>
      <w:t>Лямбир</w:t>
    </w:r>
    <w:r>
      <w:rPr>
        <w:color w:val="c0504d"/>
      </w:rPr>
      <w:t>ского</w:t>
    </w:r>
    <w:r>
      <w:rPr>
        <w:color w:val="c0504d"/>
      </w:rPr>
      <w:t xml:space="preserve"> муниципального района</w:t>
    </w:r>
    <w:r>
      <w:rPr>
        <w:color w:val="c0504d"/>
      </w:rPr>
      <w:t xml:space="preserve"> </w:t>
    </w:r>
    <w:r>
      <w:rPr>
        <w:color w:val="c0504d"/>
      </w:rPr>
      <w:t>Республики Мордовия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singleLevel"/>
    <w:lvl w:ilvl="0" w:tentative="0">
      <w:numFmt w:val="bullet"/>
      <w:lvlText w:val="*"/>
      <w:lvlJc w:val="left"/>
    </w:lvl>
  </w:abstractNum>
  <w:abstractNum w:abstractNumId="1">
    <w:multiLevelType w:val="multilevel"/>
    <w:lvl w:ilvl="0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multiLevelType w:val="hybridMultilevel"/>
    <w:lvl w:ilvl="0" w:tentative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multiLevelType w:val="hybridMultilevel"/>
    <w:lvl w:ilvl="0" w:tentative="0">
      <w:start w:val="1"/>
      <w:numFmt w:val="bullet"/>
      <w:lvlText w:val=""/>
      <w:lvlJc w:val="left"/>
      <w:pPr>
        <w:ind w:left="786" w:hanging="360"/>
      </w:pPr>
      <w:rPr>
        <w:rFonts w:ascii="Symbol" w:cs="Symbol" w:hAnsi="Symbol" w:hint="default"/>
      </w:rPr>
    </w:lvl>
    <w:lvl w:ilvl="1" w:tentative="1">
      <w:start w:val="1"/>
      <w:numFmt w:val="bullet"/>
      <w:lvlText w:val="o"/>
      <w:lvlJc w:val="left"/>
      <w:pPr>
        <w:ind w:left="1506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6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6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 w:tentative="0"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 w:tentative="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 w:tentative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 w:tentative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 w:tentative="0">
      <w:numFmt w:val="bullet"/>
      <w:lvlText w:val="–"/>
      <w:lvlJc w:val="left"/>
      <w:pPr>
        <w:ind w:left="1440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 w:tentative="0">
      <w:numFmt w:val="bullet"/>
      <w:lvlText w:val="–"/>
      <w:lvlJc w:val="left"/>
      <w:pPr>
        <w:ind w:left="1287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multiLevelType w:val="multilevel"/>
    <w:lvl w:ilvl="0" w:tentative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3">
    <w:multiLevelType w:val="hybridMultilevel"/>
    <w:lvl w:ilvl="0" w:tentative="0">
      <w:start w:val="1"/>
      <w:numFmt w:val="bullet"/>
      <w:lvlText w:val=""/>
      <w:lvlJc w:val="left"/>
      <w:pPr>
        <w:ind w:left="1440" w:hanging="360"/>
      </w:pPr>
      <w:rPr>
        <w:rFonts w:ascii="Symbol" w:cs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 w:tentative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 w:tentative="0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multiLevelType w:val="hybridMultilevel"/>
    <w:lvl w:ilvl="0" w:tentative="0">
      <w:start w:val="1"/>
      <w:numFmt w:val="bullet"/>
      <w:lvlText w:val=""/>
      <w:lvlJc w:val="left"/>
      <w:pPr>
        <w:ind w:left="1440" w:hanging="360"/>
      </w:pPr>
      <w:rPr>
        <w:rFonts w:ascii="Symbol" w:cs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 w:tentative="0">
      <w:numFmt w:val="bullet"/>
      <w:lvlText w:val="–"/>
      <w:lvlJc w:val="left"/>
      <w:pPr>
        <w:ind w:left="1440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 w:tentative="0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multiLevelType w:val="hybridMultilevel"/>
    <w:lvl w:ilvl="0" w:tentative="0">
      <w:numFmt w:val="bullet"/>
      <w:lvlText w:val="–"/>
      <w:lvlJc w:val="left"/>
      <w:pPr>
        <w:ind w:left="1429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multiLevelType w:val="hybridMultilevel"/>
    <w:lvl w:ilvl="0" w:tentative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multiLevelType w:val="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i w:val="off"/>
      </w:rPr>
    </w:lvl>
    <w:lvl w:ilvl="1" w:tentative="0">
      <w:start w:val="1"/>
      <w:numFmt w:val="decimal"/>
      <w:isLgl w:val="on"/>
      <w:lvlText w:val="%1.%2.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isLgl w:val="on"/>
      <w:lvlText w:val="%1.%2.%3."/>
      <w:lvlJc w:val="left"/>
      <w:pPr>
        <w:ind w:left="1800" w:hanging="720"/>
      </w:pPr>
      <w:rPr>
        <w:rFonts w:hint="default"/>
      </w:rPr>
    </w:lvl>
    <w:lvl w:ilvl="3" w:tentative="0">
      <w:start w:val="1"/>
      <w:numFmt w:val="decimal"/>
      <w:isLgl w:val="on"/>
      <w:lvlText w:val="%1.%2.%3.%4."/>
      <w:lvlJc w:val="left"/>
      <w:pPr>
        <w:ind w:left="2160" w:hanging="720"/>
      </w:pPr>
      <w:rPr>
        <w:rFonts w:hint="default"/>
      </w:rPr>
    </w:lvl>
    <w:lvl w:ilvl="4" w:tentative="0">
      <w:start w:val="1"/>
      <w:numFmt w:val="decimal"/>
      <w:isLgl w:val="on"/>
      <w:lvlText w:val="%1.%2.%3.%4.%5."/>
      <w:lvlJc w:val="left"/>
      <w:pPr>
        <w:ind w:left="2880" w:hanging="1080"/>
      </w:pPr>
      <w:rPr>
        <w:rFonts w:hint="default"/>
      </w:rPr>
    </w:lvl>
    <w:lvl w:ilvl="5" w:tentative="0">
      <w:start w:val="1"/>
      <w:numFmt w:val="decimal"/>
      <w:isLgl w:val="on"/>
      <w:lvlText w:val="%1.%2.%3.%4.%5.%6."/>
      <w:lvlJc w:val="left"/>
      <w:pPr>
        <w:ind w:left="3240" w:hanging="1080"/>
      </w:pPr>
      <w:rPr>
        <w:rFonts w:hint="default"/>
      </w:rPr>
    </w:lvl>
    <w:lvl w:ilvl="6" w:tentative="0">
      <w:start w:val="1"/>
      <w:numFmt w:val="decimal"/>
      <w:isLgl w:val="on"/>
      <w:lvlText w:val="%1.%2.%3.%4.%5.%6.%7."/>
      <w:lvlJc w:val="left"/>
      <w:pPr>
        <w:ind w:left="3960" w:hanging="1440"/>
      </w:pPr>
      <w:rPr>
        <w:rFonts w:hint="default"/>
      </w:rPr>
    </w:lvl>
    <w:lvl w:ilvl="7" w:tentative="0">
      <w:start w:val="1"/>
      <w:numFmt w:val="decimal"/>
      <w:isLgl w:val="on"/>
      <w:lvlText w:val="%1.%2.%3.%4.%5.%6.%7.%8."/>
      <w:lvlJc w:val="left"/>
      <w:pPr>
        <w:ind w:left="4320" w:hanging="1440"/>
      </w:pPr>
      <w:rPr>
        <w:rFonts w:hint="default"/>
      </w:rPr>
    </w:lvl>
    <w:lvl w:ilvl="8" w:tentative="0">
      <w:start w:val="1"/>
      <w:numFmt w:val="decimal"/>
      <w:isLgl w:val="on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>
    <w:multiLevelType w:val="hybridMultilevel"/>
    <w:lvl w:ilvl="0" w:tentative="0">
      <w:numFmt w:val="bullet"/>
      <w:lvlText w:val="–"/>
      <w:lvlJc w:val="left"/>
      <w:pPr>
        <w:ind w:left="1429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multiLevelType w:val="hybridMultilevel"/>
    <w:lvl w:ilvl="0" w:tentative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 w:tentative="0">
      <w:start w:val="2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 w:tentative="0">
      <w:numFmt w:val="bullet"/>
      <w:lvlText w:val="–"/>
      <w:lvlJc w:val="left"/>
      <w:pPr>
        <w:ind w:left="1440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multiLevelType w:val="hybridMultilevel"/>
    <w:lvl w:ilvl="0" w:tentative="0">
      <w:numFmt w:val="bullet"/>
      <w:lvlText w:val="–"/>
      <w:lvlJc w:val="left"/>
      <w:pPr>
        <w:ind w:left="1429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multiLevelType w:val="hybridMultilevel"/>
    <w:lvl w:ilvl="0" w:tentative="0">
      <w:numFmt w:val="bullet"/>
      <w:lvlText w:val="–"/>
      <w:lvlJc w:val="left"/>
      <w:pPr>
        <w:ind w:left="1429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multiLevelType w:val="hybridMultilevel"/>
    <w:lvl w:ilvl="0" w:tentative="0"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 w:tentative="0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cs="Symbol" w:hAnsi="Symbol" w:hint="default"/>
      </w:rPr>
    </w:lvl>
    <w:lvl w:ilvl="1" w:tentative="0">
      <w:start w:val="1"/>
      <w:numFmt w:val="bullet"/>
      <w:lvlText w:val="o"/>
      <w:lvlJc w:val="left"/>
      <w:pPr>
        <w:tabs>
          <w:tab w:val="num" w:pos="2308"/>
        </w:tabs>
        <w:ind w:left="2308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lvlText w:val=""/>
      <w:lvlJc w:val="left"/>
      <w:pPr>
        <w:tabs>
          <w:tab w:val="num" w:pos="3028"/>
        </w:tabs>
        <w:ind w:left="3028" w:hanging="360"/>
      </w:pPr>
      <w:rPr>
        <w:rFonts w:ascii="Wingdings" w:cs="Wingdings" w:hAnsi="Wingdings" w:hint="default"/>
      </w:rPr>
    </w:lvl>
    <w:lvl w:ilvl="3" w:tentative="0">
      <w:start w:val="1"/>
      <w:numFmt w:val="bullet"/>
      <w:lvlText w:val=""/>
      <w:lvlJc w:val="left"/>
      <w:pPr>
        <w:tabs>
          <w:tab w:val="num" w:pos="3748"/>
        </w:tabs>
        <w:ind w:left="3748" w:hanging="360"/>
      </w:pPr>
      <w:rPr>
        <w:rFonts w:ascii="Symbol" w:cs="Symbol" w:hAnsi="Symbol" w:hint="default"/>
      </w:rPr>
    </w:lvl>
    <w:lvl w:ilvl="4" w:tentative="0">
      <w:start w:val="1"/>
      <w:numFmt w:val="bullet"/>
      <w:lvlText w:val="o"/>
      <w:lvlJc w:val="left"/>
      <w:pPr>
        <w:tabs>
          <w:tab w:val="num" w:pos="4468"/>
        </w:tabs>
        <w:ind w:left="4468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lvlText w:val=""/>
      <w:lvlJc w:val="left"/>
      <w:pPr>
        <w:tabs>
          <w:tab w:val="num" w:pos="5188"/>
        </w:tabs>
        <w:ind w:left="5188" w:hanging="360"/>
      </w:pPr>
      <w:rPr>
        <w:rFonts w:ascii="Wingdings" w:cs="Wingdings" w:hAnsi="Wingdings" w:hint="default"/>
      </w:rPr>
    </w:lvl>
    <w:lvl w:ilvl="6" w:tentative="0">
      <w:start w:val="1"/>
      <w:numFmt w:val="bullet"/>
      <w:lvlText w:val=""/>
      <w:lvlJc w:val="left"/>
      <w:pPr>
        <w:tabs>
          <w:tab w:val="num" w:pos="5908"/>
        </w:tabs>
        <w:ind w:left="5908" w:hanging="360"/>
      </w:pPr>
      <w:rPr>
        <w:rFonts w:ascii="Symbol" w:cs="Symbol" w:hAnsi="Symbol" w:hint="default"/>
      </w:rPr>
    </w:lvl>
    <w:lvl w:ilvl="7" w:tentative="0">
      <w:start w:val="1"/>
      <w:numFmt w:val="bullet"/>
      <w:lvlText w:val="o"/>
      <w:lvlJc w:val="left"/>
      <w:pPr>
        <w:tabs>
          <w:tab w:val="num" w:pos="6628"/>
        </w:tabs>
        <w:ind w:left="6628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lvlText w:val=""/>
      <w:lvlJc w:val="left"/>
      <w:pPr>
        <w:tabs>
          <w:tab w:val="num" w:pos="7348"/>
        </w:tabs>
        <w:ind w:left="7348" w:hanging="360"/>
      </w:pPr>
      <w:rPr>
        <w:rFonts w:ascii="Wingdings" w:cs="Wingdings" w:hAnsi="Wingdings" w:hint="default"/>
      </w:rPr>
    </w:lvl>
  </w:abstractNum>
  <w:abstractNum w:abstractNumId="32">
    <w:multiLevelType w:val="hybridMultilevel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multiLevelType w:val="hybridMultilevel"/>
    <w:lvl w:ilvl="0" w:tentative="0"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entative="0"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multiLevelType w:val="hybridMultilevel"/>
    <w:lvl w:ilvl="0" w:tentative="0">
      <w:start w:val="1"/>
      <w:numFmt w:val="bullet"/>
      <w:lvlText w:val=""/>
      <w:lvlJc w:val="left"/>
      <w:pPr>
        <w:ind w:left="1440" w:hanging="360"/>
      </w:pPr>
      <w:rPr>
        <w:rFonts w:ascii="Symbol" w:cs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multiLevelType w:val="multilevel"/>
    <w:lvl w:ilvl="0" w:tentative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 w:val="on"/>
      <w:lvlText w:val="%1.%2."/>
      <w:lvlJc w:val="left"/>
      <w:pPr>
        <w:ind w:left="1249" w:hanging="540"/>
      </w:pPr>
      <w:rPr>
        <w:rFonts w:hint="default"/>
      </w:rPr>
    </w:lvl>
    <w:lvl w:ilvl="2" w:tentative="0">
      <w:start w:val="1"/>
      <w:numFmt w:val="decimal"/>
      <w:isLgl w:val="on"/>
      <w:lvlText w:val="%1.%2.%3."/>
      <w:lvlJc w:val="left"/>
      <w:pPr>
        <w:ind w:left="1854" w:hanging="720"/>
      </w:pPr>
      <w:rPr>
        <w:rFonts w:hint="default"/>
      </w:rPr>
    </w:lvl>
    <w:lvl w:ilvl="3" w:tentative="0">
      <w:start w:val="1"/>
      <w:numFmt w:val="decimal"/>
      <w:isLgl w:val="on"/>
      <w:lvlText w:val="%1.%2.%3.%4."/>
      <w:lvlJc w:val="left"/>
      <w:pPr>
        <w:ind w:left="2279" w:hanging="720"/>
      </w:pPr>
      <w:rPr>
        <w:rFonts w:hint="default"/>
      </w:rPr>
    </w:lvl>
    <w:lvl w:ilvl="4" w:tentative="0">
      <w:start w:val="1"/>
      <w:numFmt w:val="decimal"/>
      <w:isLgl w:val="on"/>
      <w:lvlText w:val="%1.%2.%3.%4.%5."/>
      <w:lvlJc w:val="left"/>
      <w:pPr>
        <w:ind w:left="3064" w:hanging="1080"/>
      </w:pPr>
      <w:rPr>
        <w:rFonts w:hint="default"/>
      </w:rPr>
    </w:lvl>
    <w:lvl w:ilvl="5" w:tentative="0">
      <w:start w:val="1"/>
      <w:numFmt w:val="decimal"/>
      <w:isLgl w:val="on"/>
      <w:lvlText w:val="%1.%2.%3.%4.%5.%6."/>
      <w:lvlJc w:val="left"/>
      <w:pPr>
        <w:ind w:left="3489" w:hanging="1080"/>
      </w:pPr>
      <w:rPr>
        <w:rFonts w:hint="default"/>
      </w:rPr>
    </w:lvl>
    <w:lvl w:ilvl="6" w:tentative="0">
      <w:start w:val="1"/>
      <w:numFmt w:val="decimal"/>
      <w:isLgl w:val="on"/>
      <w:lvlText w:val="%1.%2.%3.%4.%5.%6.%7."/>
      <w:lvlJc w:val="left"/>
      <w:pPr>
        <w:ind w:left="4274" w:hanging="1440"/>
      </w:pPr>
      <w:rPr>
        <w:rFonts w:hint="default"/>
      </w:rPr>
    </w:lvl>
    <w:lvl w:ilvl="7" w:tentative="0">
      <w:start w:val="1"/>
      <w:numFmt w:val="decimal"/>
      <w:isLgl w:val="on"/>
      <w:lvlText w:val="%1.%2.%3.%4.%5.%6.%7.%8."/>
      <w:lvlJc w:val="left"/>
      <w:pPr>
        <w:ind w:left="4699" w:hanging="1440"/>
      </w:pPr>
      <w:rPr>
        <w:rFonts w:hint="default"/>
      </w:rPr>
    </w:lvl>
    <w:lvl w:ilvl="8" w:tentative="0">
      <w:start w:val="1"/>
      <w:numFmt w:val="decimal"/>
      <w:isLgl w:val="on"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36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 w:tentative="0">
      <w:numFmt w:val="bullet"/>
      <w:lvlText w:val="–"/>
      <w:lvlJc w:val="left"/>
      <w:pPr>
        <w:ind w:left="1429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multiLevelType w:val="hybridMultilevel"/>
    <w:lvl w:ilvl="0" w:tentative="0">
      <w:numFmt w:val="bullet"/>
      <w:lvlText w:val="–"/>
      <w:lvlJc w:val="left"/>
      <w:pPr>
        <w:ind w:left="1440" w:hanging="360"/>
      </w:pPr>
      <w:rPr>
        <w:rFonts w:ascii="Times New Roman" w:cs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multiLevelType w:val="hybridMultilevel"/>
    <w:lvl w:ilvl="0" w:tentative="0">
      <w:start w:val="1"/>
      <w:numFmt w:val="decimal"/>
      <w:lvlText w:val="%1."/>
      <w:lvlJc w:val="left"/>
      <w:pPr>
        <w:ind w:left="1065" w:hanging="705"/>
      </w:pPr>
      <w:rPr>
        <w:rFonts w:ascii="Times New Roman" w:cs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 w:tentative="0">
      <w:start w:val="1"/>
      <w:numFmt w:val="bullet"/>
      <w:lvlText w:val=""/>
      <w:lvlJc w:val="left"/>
      <w:pPr>
        <w:ind w:left="1146" w:hanging="360"/>
      </w:pPr>
      <w:rPr>
        <w:rFonts w:ascii="Symbol" w:cs="Symbol" w:hAnsi="Symbol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multiLevelType w:val="hybridMultilevel"/>
    <w:lvl w:ilvl="0" w:tentative="0">
      <w:start w:val="1"/>
      <w:numFmt w:val="decimal"/>
      <w:lvlText w:val="%1."/>
      <w:lvlJc w:val="left"/>
      <w:pPr>
        <w:ind w:left="1065" w:hanging="705"/>
      </w:pPr>
      <w:rPr>
        <w:rFonts w:ascii="Times New Roman" w:cs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 w:tentative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 w:tentative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multiLevelType w:val="hybridMultilevel"/>
    <w:lvl w:ilvl="0" w:tentative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multiLevelType w:val="hybridMultilevel"/>
    <w:lvl w:ilvl="0" w:tentative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18"/>
  </w:num>
  <w:num w:numId="3">
    <w:abstractNumId w:val="43"/>
  </w:num>
  <w:num w:numId="4">
    <w:abstractNumId w:val="45"/>
  </w:num>
  <w:num w:numId="5">
    <w:abstractNumId w:val="7"/>
  </w:num>
  <w:num w:numId="6">
    <w:abstractNumId w:val="42"/>
  </w:num>
  <w:num w:numId="7">
    <w:abstractNumId w:val="19"/>
  </w:num>
  <w:num w:numId="8">
    <w:abstractNumId w:val="17"/>
  </w:num>
  <w:num w:numId="9">
    <w:abstractNumId w:val="14"/>
  </w:num>
  <w:num w:numId="10">
    <w:abstractNumId w:val="0"/>
    <w:lvlOverride w:ilvl="0">
      <w:lvl w:ilvl="0" w:tentative="0">
        <w:start w:val="1"/>
        <w:numFmt w:val="bullet"/>
        <w:lvlText w:val="?"/>
        <w:lvlJc w:val="left"/>
        <w:pPr>
          <w:ind w:left="992" w:hanging="283"/>
        </w:pPr>
        <w:rPr>
          <w:rFonts w:ascii="Helvetica" w:hAnsi="Helvetica" w:hint="default"/>
        </w:rPr>
      </w:lvl>
    </w:lvlOverride>
  </w:num>
  <w:num w:numId="11">
    <w:abstractNumId w:val="36"/>
  </w:num>
  <w:num w:numId="12">
    <w:abstractNumId w:val="28"/>
  </w:num>
  <w:num w:numId="13">
    <w:abstractNumId w:val="20"/>
  </w:num>
  <w:num w:numId="14">
    <w:abstractNumId w:val="39"/>
  </w:num>
  <w:num w:numId="15">
    <w:abstractNumId w:val="15"/>
  </w:num>
  <w:num w:numId="16">
    <w:abstractNumId w:val="33"/>
  </w:num>
  <w:num w:numId="17">
    <w:abstractNumId w:val="6"/>
  </w:num>
  <w:num w:numId="18">
    <w:abstractNumId w:val="5"/>
  </w:num>
  <w:num w:numId="19">
    <w:abstractNumId w:val="16"/>
  </w:num>
  <w:num w:numId="20">
    <w:abstractNumId w:val="13"/>
  </w:num>
  <w:num w:numId="21">
    <w:abstractNumId w:val="34"/>
  </w:num>
  <w:num w:numId="22">
    <w:abstractNumId w:val="3"/>
  </w:num>
  <w:num w:numId="23">
    <w:abstractNumId w:val="31"/>
  </w:num>
  <w:num w:numId="24">
    <w:abstractNumId w:val="26"/>
  </w:num>
  <w:num w:numId="25">
    <w:abstractNumId w:val="10"/>
  </w:num>
  <w:num w:numId="26">
    <w:abstractNumId w:val="38"/>
  </w:num>
  <w:num w:numId="27">
    <w:abstractNumId w:val="11"/>
  </w:num>
  <w:num w:numId="28">
    <w:abstractNumId w:val="21"/>
  </w:num>
  <w:num w:numId="29">
    <w:abstractNumId w:val="37"/>
  </w:num>
  <w:num w:numId="30">
    <w:abstractNumId w:val="27"/>
  </w:num>
  <w:num w:numId="31">
    <w:abstractNumId w:val="23"/>
  </w:num>
  <w:num w:numId="32">
    <w:abstractNumId w:val="1"/>
  </w:num>
  <w:num w:numId="33">
    <w:abstractNumId w:val="24"/>
  </w:num>
  <w:num w:numId="34">
    <w:abstractNumId w:val="40"/>
  </w:num>
  <w:num w:numId="35">
    <w:abstractNumId w:val="29"/>
  </w:num>
  <w:num w:numId="36">
    <w:abstractNumId w:val="41"/>
  </w:num>
  <w:num w:numId="37">
    <w:abstractNumId w:val="22"/>
  </w:num>
  <w:num w:numId="38">
    <w:abstractNumId w:val="2"/>
  </w:num>
  <w:num w:numId="39">
    <w:abstractNumId w:val="9"/>
  </w:num>
  <w:num w:numId="40">
    <w:abstractNumId w:val="25"/>
  </w:num>
  <w:num w:numId="41">
    <w:abstractNumId w:val="35"/>
  </w:num>
  <w:num w:numId="42">
    <w:abstractNumId w:val="32"/>
  </w:num>
  <w:num w:numId="43">
    <w:abstractNumId w:val="8"/>
  </w:num>
  <w:num w:numId="44">
    <w:abstractNumId w:val="12"/>
  </w:num>
  <w:num w:numId="45">
    <w:abstractNumId w:val="4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3A4"/>
    <w:rsid w:val="00000F52"/>
    <w:rsid w:val="000031FB"/>
    <w:rsid w:val="00004271"/>
    <w:rsid w:val="000072CD"/>
    <w:rsid w:val="00007580"/>
    <w:rsid w:val="00014C86"/>
    <w:rsid w:val="00015166"/>
    <w:rsid w:val="00015A00"/>
    <w:rsid w:val="00015D4C"/>
    <w:rsid w:val="0001790B"/>
    <w:rsid w:val="0002135A"/>
    <w:rsid w:val="0002407E"/>
    <w:rsid w:val="00041010"/>
    <w:rsid w:val="00044723"/>
    <w:rsid w:val="00046C17"/>
    <w:rsid w:val="000503A1"/>
    <w:rsid w:val="00054B2D"/>
    <w:rsid w:val="00056BF2"/>
    <w:rsid w:val="00057BFA"/>
    <w:rsid w:val="00057E48"/>
    <w:rsid w:val="00060064"/>
    <w:rsid w:val="00064202"/>
    <w:rsid w:val="000653B6"/>
    <w:rsid w:val="000721FB"/>
    <w:rsid w:val="000726BF"/>
    <w:rsid w:val="00074651"/>
    <w:rsid w:val="00074D29"/>
    <w:rsid w:val="00075E0F"/>
    <w:rsid w:val="00076F20"/>
    <w:rsid w:val="000801A6"/>
    <w:rsid w:val="00083054"/>
    <w:rsid w:val="00083177"/>
    <w:rsid w:val="000832DB"/>
    <w:rsid w:val="000863CD"/>
    <w:rsid w:val="0008655F"/>
    <w:rsid w:val="0008661A"/>
    <w:rsid w:val="00087A48"/>
    <w:rsid w:val="00087BCC"/>
    <w:rsid w:val="000900D9"/>
    <w:rsid w:val="00096E5A"/>
    <w:rsid w:val="00096F59"/>
    <w:rsid w:val="000A37B3"/>
    <w:rsid w:val="000A4796"/>
    <w:rsid w:val="000A54F9"/>
    <w:rsid w:val="000B14B9"/>
    <w:rsid w:val="000B212D"/>
    <w:rsid w:val="000B2ABB"/>
    <w:rsid w:val="000B3352"/>
    <w:rsid w:val="000B6642"/>
    <w:rsid w:val="000B6801"/>
    <w:rsid w:val="000C12A8"/>
    <w:rsid w:val="000C166F"/>
    <w:rsid w:val="000C2704"/>
    <w:rsid w:val="000C2DCC"/>
    <w:rsid w:val="000C7530"/>
    <w:rsid w:val="000D3250"/>
    <w:rsid w:val="000D4046"/>
    <w:rsid w:val="000D5731"/>
    <w:rsid w:val="000D5B42"/>
    <w:rsid w:val="000D658D"/>
    <w:rsid w:val="000D7AE0"/>
    <w:rsid w:val="000E0EB5"/>
    <w:rsid w:val="000E0FBF"/>
    <w:rsid w:val="000E1FBC"/>
    <w:rsid w:val="000E327E"/>
    <w:rsid w:val="000E5C3C"/>
    <w:rsid w:val="000E69EC"/>
    <w:rsid w:val="000F1BD9"/>
    <w:rsid w:val="000F29AB"/>
    <w:rsid w:val="000F2AF4"/>
    <w:rsid w:val="000F6919"/>
    <w:rsid w:val="00103E1F"/>
    <w:rsid w:val="00105102"/>
    <w:rsid w:val="001156BD"/>
    <w:rsid w:val="0011745A"/>
    <w:rsid w:val="00117999"/>
    <w:rsid w:val="00121DF3"/>
    <w:rsid w:val="00123652"/>
    <w:rsid w:val="00123D25"/>
    <w:rsid w:val="00124233"/>
    <w:rsid w:val="00126BFE"/>
    <w:rsid w:val="001316C3"/>
    <w:rsid w:val="00134539"/>
    <w:rsid w:val="001410C9"/>
    <w:rsid w:val="00142EFB"/>
    <w:rsid w:val="00143A8D"/>
    <w:rsid w:val="00145002"/>
    <w:rsid w:val="00145379"/>
    <w:rsid w:val="00146A73"/>
    <w:rsid w:val="001500A2"/>
    <w:rsid w:val="001502DB"/>
    <w:rsid w:val="0015169F"/>
    <w:rsid w:val="00153400"/>
    <w:rsid w:val="00155E83"/>
    <w:rsid w:val="00162060"/>
    <w:rsid w:val="00167567"/>
    <w:rsid w:val="0017303E"/>
    <w:rsid w:val="001739F7"/>
    <w:rsid w:val="00177D3B"/>
    <w:rsid w:val="0018183A"/>
    <w:rsid w:val="00182465"/>
    <w:rsid w:val="00186152"/>
    <w:rsid w:val="001867A3"/>
    <w:rsid w:val="0018767E"/>
    <w:rsid w:val="0019026F"/>
    <w:rsid w:val="00195FB9"/>
    <w:rsid w:val="0019686A"/>
    <w:rsid w:val="00196AD7"/>
    <w:rsid w:val="00196BA4"/>
    <w:rsid w:val="001976A3"/>
    <w:rsid w:val="001A1349"/>
    <w:rsid w:val="001A2227"/>
    <w:rsid w:val="001A2FB3"/>
    <w:rsid w:val="001A5FC6"/>
    <w:rsid w:val="001A7BA4"/>
    <w:rsid w:val="001B009A"/>
    <w:rsid w:val="001B1DC7"/>
    <w:rsid w:val="001B2419"/>
    <w:rsid w:val="001B30AA"/>
    <w:rsid w:val="001B31E4"/>
    <w:rsid w:val="001B6C86"/>
    <w:rsid w:val="001C1BD6"/>
    <w:rsid w:val="001C3E4A"/>
    <w:rsid w:val="001C4636"/>
    <w:rsid w:val="001C471C"/>
    <w:rsid w:val="001C573C"/>
    <w:rsid w:val="001C6E07"/>
    <w:rsid w:val="001D275C"/>
    <w:rsid w:val="001D749B"/>
    <w:rsid w:val="001E0CAC"/>
    <w:rsid w:val="001E3CCF"/>
    <w:rsid w:val="001E57B6"/>
    <w:rsid w:val="001E7028"/>
    <w:rsid w:val="001F16C6"/>
    <w:rsid w:val="001F1FF2"/>
    <w:rsid w:val="001F4882"/>
    <w:rsid w:val="001F4D66"/>
    <w:rsid w:val="001F54C6"/>
    <w:rsid w:val="001F58F6"/>
    <w:rsid w:val="001F6805"/>
    <w:rsid w:val="001F79A6"/>
    <w:rsid w:val="001F7B36"/>
    <w:rsid w:val="002015D7"/>
    <w:rsid w:val="00201B67"/>
    <w:rsid w:val="00202F73"/>
    <w:rsid w:val="00203C8B"/>
    <w:rsid w:val="0020451C"/>
    <w:rsid w:val="00207BDD"/>
    <w:rsid w:val="002107A6"/>
    <w:rsid w:val="002117B0"/>
    <w:rsid w:val="0021746C"/>
    <w:rsid w:val="00221CC5"/>
    <w:rsid w:val="00225C1E"/>
    <w:rsid w:val="0022683F"/>
    <w:rsid w:val="0022690D"/>
    <w:rsid w:val="0022793C"/>
    <w:rsid w:val="00234D18"/>
    <w:rsid w:val="00237C74"/>
    <w:rsid w:val="002410DD"/>
    <w:rsid w:val="002418FB"/>
    <w:rsid w:val="00242E9D"/>
    <w:rsid w:val="00243150"/>
    <w:rsid w:val="00244599"/>
    <w:rsid w:val="00245387"/>
    <w:rsid w:val="0024591C"/>
    <w:rsid w:val="00245C11"/>
    <w:rsid w:val="0024734E"/>
    <w:rsid w:val="00250691"/>
    <w:rsid w:val="0025170E"/>
    <w:rsid w:val="002567CC"/>
    <w:rsid w:val="00264FA6"/>
    <w:rsid w:val="002650B4"/>
    <w:rsid w:val="00265153"/>
    <w:rsid w:val="0026703C"/>
    <w:rsid w:val="0027055B"/>
    <w:rsid w:val="002730AC"/>
    <w:rsid w:val="002732E0"/>
    <w:rsid w:val="00277359"/>
    <w:rsid w:val="00280AAB"/>
    <w:rsid w:val="00287B0F"/>
    <w:rsid w:val="00287BE1"/>
    <w:rsid w:val="002919CF"/>
    <w:rsid w:val="002925C5"/>
    <w:rsid w:val="002937C4"/>
    <w:rsid w:val="002952EC"/>
    <w:rsid w:val="002965B6"/>
    <w:rsid w:val="002A05A8"/>
    <w:rsid w:val="002A14A9"/>
    <w:rsid w:val="002A19AC"/>
    <w:rsid w:val="002A1D9A"/>
    <w:rsid w:val="002A1ECC"/>
    <w:rsid w:val="002A2A66"/>
    <w:rsid w:val="002A637D"/>
    <w:rsid w:val="002B5F10"/>
    <w:rsid w:val="002B67C5"/>
    <w:rsid w:val="002B6BF2"/>
    <w:rsid w:val="002B747D"/>
    <w:rsid w:val="002B79FA"/>
    <w:rsid w:val="002D242B"/>
    <w:rsid w:val="002D3E74"/>
    <w:rsid w:val="002D4321"/>
    <w:rsid w:val="002D47F0"/>
    <w:rsid w:val="002D5E14"/>
    <w:rsid w:val="002D727E"/>
    <w:rsid w:val="002E25A5"/>
    <w:rsid w:val="002E7078"/>
    <w:rsid w:val="002F1D27"/>
    <w:rsid w:val="002F352B"/>
    <w:rsid w:val="002F44FB"/>
    <w:rsid w:val="002F52E5"/>
    <w:rsid w:val="002F5BA8"/>
    <w:rsid w:val="002F5C1D"/>
    <w:rsid w:val="002F7820"/>
    <w:rsid w:val="003037A8"/>
    <w:rsid w:val="00310DA3"/>
    <w:rsid w:val="0031342D"/>
    <w:rsid w:val="00313CEE"/>
    <w:rsid w:val="003144D8"/>
    <w:rsid w:val="0031531A"/>
    <w:rsid w:val="00315778"/>
    <w:rsid w:val="003168E2"/>
    <w:rsid w:val="003169FF"/>
    <w:rsid w:val="00316EC9"/>
    <w:rsid w:val="00320274"/>
    <w:rsid w:val="00321522"/>
    <w:rsid w:val="003241EA"/>
    <w:rsid w:val="0032712A"/>
    <w:rsid w:val="00327E24"/>
    <w:rsid w:val="00332BAC"/>
    <w:rsid w:val="00333108"/>
    <w:rsid w:val="00337326"/>
    <w:rsid w:val="00337660"/>
    <w:rsid w:val="00340204"/>
    <w:rsid w:val="00340FE7"/>
    <w:rsid w:val="0034388D"/>
    <w:rsid w:val="00344150"/>
    <w:rsid w:val="00346804"/>
    <w:rsid w:val="003476B7"/>
    <w:rsid w:val="00353A5E"/>
    <w:rsid w:val="00355127"/>
    <w:rsid w:val="00361CB1"/>
    <w:rsid w:val="003655B0"/>
    <w:rsid w:val="003718DD"/>
    <w:rsid w:val="003721DD"/>
    <w:rsid w:val="00372EB4"/>
    <w:rsid w:val="00373496"/>
    <w:rsid w:val="003742B2"/>
    <w:rsid w:val="003758A6"/>
    <w:rsid w:val="003758D4"/>
    <w:rsid w:val="0037636A"/>
    <w:rsid w:val="003808D3"/>
    <w:rsid w:val="003810C2"/>
    <w:rsid w:val="0038243B"/>
    <w:rsid w:val="003847A3"/>
    <w:rsid w:val="00386B65"/>
    <w:rsid w:val="00391558"/>
    <w:rsid w:val="00391B3A"/>
    <w:rsid w:val="0039335C"/>
    <w:rsid w:val="003936C5"/>
    <w:rsid w:val="00393A31"/>
    <w:rsid w:val="00395172"/>
    <w:rsid w:val="003A04A2"/>
    <w:rsid w:val="003A0CB7"/>
    <w:rsid w:val="003A0D23"/>
    <w:rsid w:val="003A23AC"/>
    <w:rsid w:val="003A2AFE"/>
    <w:rsid w:val="003A53DB"/>
    <w:rsid w:val="003A568E"/>
    <w:rsid w:val="003A6432"/>
    <w:rsid w:val="003B0C91"/>
    <w:rsid w:val="003B29A3"/>
    <w:rsid w:val="003B76B2"/>
    <w:rsid w:val="003C1B08"/>
    <w:rsid w:val="003C4FD4"/>
    <w:rsid w:val="003C65BA"/>
    <w:rsid w:val="003C78AA"/>
    <w:rsid w:val="003D27E8"/>
    <w:rsid w:val="003D2904"/>
    <w:rsid w:val="003D2D2E"/>
    <w:rsid w:val="003D7BBE"/>
    <w:rsid w:val="003D7E0D"/>
    <w:rsid w:val="003E01FC"/>
    <w:rsid w:val="003E3533"/>
    <w:rsid w:val="003E3A73"/>
    <w:rsid w:val="003E478C"/>
    <w:rsid w:val="003E4B37"/>
    <w:rsid w:val="003E5A96"/>
    <w:rsid w:val="003E77A0"/>
    <w:rsid w:val="003E78D3"/>
    <w:rsid w:val="003F095E"/>
    <w:rsid w:val="003F46CD"/>
    <w:rsid w:val="003F76D3"/>
    <w:rsid w:val="00400B8C"/>
    <w:rsid w:val="004015DB"/>
    <w:rsid w:val="00402228"/>
    <w:rsid w:val="0040297B"/>
    <w:rsid w:val="004057F3"/>
    <w:rsid w:val="00411D6D"/>
    <w:rsid w:val="00414150"/>
    <w:rsid w:val="00414B94"/>
    <w:rsid w:val="00415AB8"/>
    <w:rsid w:val="00416E98"/>
    <w:rsid w:val="00416EFC"/>
    <w:rsid w:val="0042057B"/>
    <w:rsid w:val="0042067D"/>
    <w:rsid w:val="00424F5E"/>
    <w:rsid w:val="00426F39"/>
    <w:rsid w:val="004302EC"/>
    <w:rsid w:val="00430D36"/>
    <w:rsid w:val="004327F2"/>
    <w:rsid w:val="00437CBE"/>
    <w:rsid w:val="00440AAA"/>
    <w:rsid w:val="00441AA3"/>
    <w:rsid w:val="004426C4"/>
    <w:rsid w:val="00443033"/>
    <w:rsid w:val="00443332"/>
    <w:rsid w:val="00443C96"/>
    <w:rsid w:val="00445211"/>
    <w:rsid w:val="00447BFD"/>
    <w:rsid w:val="00452275"/>
    <w:rsid w:val="00456FBD"/>
    <w:rsid w:val="00457EA0"/>
    <w:rsid w:val="004601E0"/>
    <w:rsid w:val="00460934"/>
    <w:rsid w:val="00463303"/>
    <w:rsid w:val="00465B10"/>
    <w:rsid w:val="004664AF"/>
    <w:rsid w:val="0046749F"/>
    <w:rsid w:val="0047051D"/>
    <w:rsid w:val="004716F2"/>
    <w:rsid w:val="0047243B"/>
    <w:rsid w:val="004755BE"/>
    <w:rsid w:val="00477A05"/>
    <w:rsid w:val="0048497C"/>
    <w:rsid w:val="00490D56"/>
    <w:rsid w:val="00494606"/>
    <w:rsid w:val="00494D58"/>
    <w:rsid w:val="0049557B"/>
    <w:rsid w:val="00495668"/>
    <w:rsid w:val="00496022"/>
    <w:rsid w:val="004A1EB5"/>
    <w:rsid w:val="004A270E"/>
    <w:rsid w:val="004A4BE0"/>
    <w:rsid w:val="004A4E4E"/>
    <w:rsid w:val="004A4FCF"/>
    <w:rsid w:val="004A6188"/>
    <w:rsid w:val="004B06AB"/>
    <w:rsid w:val="004B1565"/>
    <w:rsid w:val="004B43BB"/>
    <w:rsid w:val="004B5425"/>
    <w:rsid w:val="004B60F8"/>
    <w:rsid w:val="004B7D7F"/>
    <w:rsid w:val="004B7EC9"/>
    <w:rsid w:val="004C352B"/>
    <w:rsid w:val="004C41F1"/>
    <w:rsid w:val="004C44D6"/>
    <w:rsid w:val="004C5FFF"/>
    <w:rsid w:val="004C7B19"/>
    <w:rsid w:val="004C7F0C"/>
    <w:rsid w:val="004D0537"/>
    <w:rsid w:val="004D1440"/>
    <w:rsid w:val="004D16A2"/>
    <w:rsid w:val="004D793E"/>
    <w:rsid w:val="004D7FF8"/>
    <w:rsid w:val="004E3C31"/>
    <w:rsid w:val="004E63A3"/>
    <w:rsid w:val="004E77F3"/>
    <w:rsid w:val="004F02CF"/>
    <w:rsid w:val="004F06E5"/>
    <w:rsid w:val="004F0EA7"/>
    <w:rsid w:val="004F19E9"/>
    <w:rsid w:val="004F3413"/>
    <w:rsid w:val="004F5934"/>
    <w:rsid w:val="004F7EE1"/>
    <w:rsid w:val="00501C55"/>
    <w:rsid w:val="005025E4"/>
    <w:rsid w:val="005032E2"/>
    <w:rsid w:val="00503880"/>
    <w:rsid w:val="00504A29"/>
    <w:rsid w:val="005056EC"/>
    <w:rsid w:val="00506097"/>
    <w:rsid w:val="00511273"/>
    <w:rsid w:val="00512F3C"/>
    <w:rsid w:val="00513707"/>
    <w:rsid w:val="00514ECC"/>
    <w:rsid w:val="00517961"/>
    <w:rsid w:val="00532D7C"/>
    <w:rsid w:val="00535481"/>
    <w:rsid w:val="00536297"/>
    <w:rsid w:val="00537B2C"/>
    <w:rsid w:val="005404EB"/>
    <w:rsid w:val="005410AF"/>
    <w:rsid w:val="00541925"/>
    <w:rsid w:val="00544053"/>
    <w:rsid w:val="00544A40"/>
    <w:rsid w:val="00544CEB"/>
    <w:rsid w:val="00546D7D"/>
    <w:rsid w:val="00550966"/>
    <w:rsid w:val="00550F6B"/>
    <w:rsid w:val="00551450"/>
    <w:rsid w:val="00553893"/>
    <w:rsid w:val="00554320"/>
    <w:rsid w:val="005552C4"/>
    <w:rsid w:val="005566A4"/>
    <w:rsid w:val="0056253A"/>
    <w:rsid w:val="0056438D"/>
    <w:rsid w:val="00564E80"/>
    <w:rsid w:val="00566256"/>
    <w:rsid w:val="00567F47"/>
    <w:rsid w:val="00577A7C"/>
    <w:rsid w:val="00581BA8"/>
    <w:rsid w:val="005868A7"/>
    <w:rsid w:val="00587F73"/>
    <w:rsid w:val="0059015D"/>
    <w:rsid w:val="00590343"/>
    <w:rsid w:val="005906E0"/>
    <w:rsid w:val="00591137"/>
    <w:rsid w:val="005927CF"/>
    <w:rsid w:val="0059297D"/>
    <w:rsid w:val="00595FB1"/>
    <w:rsid w:val="005961C9"/>
    <w:rsid w:val="00596385"/>
    <w:rsid w:val="005A0492"/>
    <w:rsid w:val="005A0549"/>
    <w:rsid w:val="005A0A82"/>
    <w:rsid w:val="005A231A"/>
    <w:rsid w:val="005A2690"/>
    <w:rsid w:val="005A34EF"/>
    <w:rsid w:val="005A5A57"/>
    <w:rsid w:val="005A5ED4"/>
    <w:rsid w:val="005A653C"/>
    <w:rsid w:val="005A6F98"/>
    <w:rsid w:val="005A71B8"/>
    <w:rsid w:val="005A7496"/>
    <w:rsid w:val="005A75EE"/>
    <w:rsid w:val="005B21E3"/>
    <w:rsid w:val="005B4DCF"/>
    <w:rsid w:val="005B55F0"/>
    <w:rsid w:val="005B5BD5"/>
    <w:rsid w:val="005C198B"/>
    <w:rsid w:val="005C2B74"/>
    <w:rsid w:val="005C620E"/>
    <w:rsid w:val="005C7D03"/>
    <w:rsid w:val="005C7DD6"/>
    <w:rsid w:val="005D0C40"/>
    <w:rsid w:val="005D1972"/>
    <w:rsid w:val="005D36B8"/>
    <w:rsid w:val="005D3CCE"/>
    <w:rsid w:val="005D4ED7"/>
    <w:rsid w:val="005D7A4C"/>
    <w:rsid w:val="005E35B6"/>
    <w:rsid w:val="005E53D2"/>
    <w:rsid w:val="005E60E4"/>
    <w:rsid w:val="005E6631"/>
    <w:rsid w:val="005F022C"/>
    <w:rsid w:val="005F307C"/>
    <w:rsid w:val="005F3763"/>
    <w:rsid w:val="005F3842"/>
    <w:rsid w:val="005F3BA1"/>
    <w:rsid w:val="005F52ED"/>
    <w:rsid w:val="005F7D16"/>
    <w:rsid w:val="0060023A"/>
    <w:rsid w:val="00600BF9"/>
    <w:rsid w:val="00602EC1"/>
    <w:rsid w:val="006049AA"/>
    <w:rsid w:val="006052BA"/>
    <w:rsid w:val="00605387"/>
    <w:rsid w:val="006064E8"/>
    <w:rsid w:val="00610F93"/>
    <w:rsid w:val="00611EFB"/>
    <w:rsid w:val="006133A4"/>
    <w:rsid w:val="0061354B"/>
    <w:rsid w:val="00613C29"/>
    <w:rsid w:val="00615FC1"/>
    <w:rsid w:val="00620B5B"/>
    <w:rsid w:val="00620DF3"/>
    <w:rsid w:val="0062118C"/>
    <w:rsid w:val="0062142E"/>
    <w:rsid w:val="006241B4"/>
    <w:rsid w:val="0062430E"/>
    <w:rsid w:val="00624ED7"/>
    <w:rsid w:val="006254B8"/>
    <w:rsid w:val="006262E2"/>
    <w:rsid w:val="006312B6"/>
    <w:rsid w:val="006313F9"/>
    <w:rsid w:val="00631ADD"/>
    <w:rsid w:val="0063264C"/>
    <w:rsid w:val="00636ED3"/>
    <w:rsid w:val="00637728"/>
    <w:rsid w:val="00637763"/>
    <w:rsid w:val="00640DC8"/>
    <w:rsid w:val="00642A1C"/>
    <w:rsid w:val="00642DF7"/>
    <w:rsid w:val="00644255"/>
    <w:rsid w:val="00644550"/>
    <w:rsid w:val="006448AC"/>
    <w:rsid w:val="0064706A"/>
    <w:rsid w:val="006478ED"/>
    <w:rsid w:val="00647DAB"/>
    <w:rsid w:val="00652924"/>
    <w:rsid w:val="00652A67"/>
    <w:rsid w:val="00653335"/>
    <w:rsid w:val="006546DD"/>
    <w:rsid w:val="00660C4B"/>
    <w:rsid w:val="00661683"/>
    <w:rsid w:val="006635A3"/>
    <w:rsid w:val="006656A1"/>
    <w:rsid w:val="00667071"/>
    <w:rsid w:val="00667395"/>
    <w:rsid w:val="00670A88"/>
    <w:rsid w:val="0067522B"/>
    <w:rsid w:val="00680892"/>
    <w:rsid w:val="006810B6"/>
    <w:rsid w:val="0068385F"/>
    <w:rsid w:val="00685221"/>
    <w:rsid w:val="00686CE1"/>
    <w:rsid w:val="006936A7"/>
    <w:rsid w:val="00695FA2"/>
    <w:rsid w:val="00696B6C"/>
    <w:rsid w:val="006A2BB4"/>
    <w:rsid w:val="006A2C44"/>
    <w:rsid w:val="006A2D48"/>
    <w:rsid w:val="006A5986"/>
    <w:rsid w:val="006A7A15"/>
    <w:rsid w:val="006B0D36"/>
    <w:rsid w:val="006B5355"/>
    <w:rsid w:val="006B7700"/>
    <w:rsid w:val="006C0734"/>
    <w:rsid w:val="006C1733"/>
    <w:rsid w:val="006C24F5"/>
    <w:rsid w:val="006C47FB"/>
    <w:rsid w:val="006D344D"/>
    <w:rsid w:val="006D39F7"/>
    <w:rsid w:val="006D7444"/>
    <w:rsid w:val="006E19F3"/>
    <w:rsid w:val="006E4B6B"/>
    <w:rsid w:val="006E528B"/>
    <w:rsid w:val="006E6780"/>
    <w:rsid w:val="006E7B5A"/>
    <w:rsid w:val="006E7F3B"/>
    <w:rsid w:val="006F2F26"/>
    <w:rsid w:val="006F3630"/>
    <w:rsid w:val="006F496D"/>
    <w:rsid w:val="006F5782"/>
    <w:rsid w:val="007004D9"/>
    <w:rsid w:val="00703699"/>
    <w:rsid w:val="00710211"/>
    <w:rsid w:val="0071251A"/>
    <w:rsid w:val="00713483"/>
    <w:rsid w:val="007166D3"/>
    <w:rsid w:val="00721AB6"/>
    <w:rsid w:val="00723476"/>
    <w:rsid w:val="00723699"/>
    <w:rsid w:val="007248DA"/>
    <w:rsid w:val="00727AE9"/>
    <w:rsid w:val="00731604"/>
    <w:rsid w:val="00735FA2"/>
    <w:rsid w:val="00736609"/>
    <w:rsid w:val="0073753B"/>
    <w:rsid w:val="00743883"/>
    <w:rsid w:val="00743CF8"/>
    <w:rsid w:val="0074621B"/>
    <w:rsid w:val="00746474"/>
    <w:rsid w:val="007470EF"/>
    <w:rsid w:val="0075046F"/>
    <w:rsid w:val="00751AA9"/>
    <w:rsid w:val="00755FFF"/>
    <w:rsid w:val="007605B1"/>
    <w:rsid w:val="00760EC2"/>
    <w:rsid w:val="0076484C"/>
    <w:rsid w:val="00765DED"/>
    <w:rsid w:val="00767028"/>
    <w:rsid w:val="00767B61"/>
    <w:rsid w:val="00770189"/>
    <w:rsid w:val="00771CEF"/>
    <w:rsid w:val="007806F5"/>
    <w:rsid w:val="007819DA"/>
    <w:rsid w:val="00783936"/>
    <w:rsid w:val="00783E15"/>
    <w:rsid w:val="007841C4"/>
    <w:rsid w:val="0078649F"/>
    <w:rsid w:val="00786E07"/>
    <w:rsid w:val="00792C91"/>
    <w:rsid w:val="007949D3"/>
    <w:rsid w:val="00795752"/>
    <w:rsid w:val="007959C8"/>
    <w:rsid w:val="00796312"/>
    <w:rsid w:val="00796648"/>
    <w:rsid w:val="00796C75"/>
    <w:rsid w:val="007974C4"/>
    <w:rsid w:val="007A1458"/>
    <w:rsid w:val="007A32CE"/>
    <w:rsid w:val="007B0688"/>
    <w:rsid w:val="007B2D37"/>
    <w:rsid w:val="007B32CE"/>
    <w:rsid w:val="007B3BF7"/>
    <w:rsid w:val="007B3EBB"/>
    <w:rsid w:val="007B4E15"/>
    <w:rsid w:val="007B4FC5"/>
    <w:rsid w:val="007B78EE"/>
    <w:rsid w:val="007C0963"/>
    <w:rsid w:val="007C42D2"/>
    <w:rsid w:val="007C5437"/>
    <w:rsid w:val="007D2062"/>
    <w:rsid w:val="007D23CB"/>
    <w:rsid w:val="007D3051"/>
    <w:rsid w:val="007D7CFB"/>
    <w:rsid w:val="007D7F03"/>
    <w:rsid w:val="007E28F0"/>
    <w:rsid w:val="007E2EBB"/>
    <w:rsid w:val="007E3306"/>
    <w:rsid w:val="007E385F"/>
    <w:rsid w:val="007F1FCE"/>
    <w:rsid w:val="007F279A"/>
    <w:rsid w:val="007F45A8"/>
    <w:rsid w:val="007F46ED"/>
    <w:rsid w:val="007F5729"/>
    <w:rsid w:val="007F5AAD"/>
    <w:rsid w:val="007F6330"/>
    <w:rsid w:val="007F76F8"/>
    <w:rsid w:val="00801898"/>
    <w:rsid w:val="0080468B"/>
    <w:rsid w:val="00810776"/>
    <w:rsid w:val="00812179"/>
    <w:rsid w:val="00813C67"/>
    <w:rsid w:val="00814F61"/>
    <w:rsid w:val="00815248"/>
    <w:rsid w:val="00815DA2"/>
    <w:rsid w:val="00822CD3"/>
    <w:rsid w:val="00823BDD"/>
    <w:rsid w:val="0082634F"/>
    <w:rsid w:val="00830F28"/>
    <w:rsid w:val="008314BA"/>
    <w:rsid w:val="008354EA"/>
    <w:rsid w:val="008358E4"/>
    <w:rsid w:val="00835E41"/>
    <w:rsid w:val="008406FA"/>
    <w:rsid w:val="00840CD6"/>
    <w:rsid w:val="0084282D"/>
    <w:rsid w:val="008451A3"/>
    <w:rsid w:val="00846A4F"/>
    <w:rsid w:val="00847074"/>
    <w:rsid w:val="00847C21"/>
    <w:rsid w:val="00850174"/>
    <w:rsid w:val="00851E49"/>
    <w:rsid w:val="00851EC0"/>
    <w:rsid w:val="008532F3"/>
    <w:rsid w:val="00854688"/>
    <w:rsid w:val="008554CE"/>
    <w:rsid w:val="00855CB2"/>
    <w:rsid w:val="0085697B"/>
    <w:rsid w:val="00860B53"/>
    <w:rsid w:val="00860D81"/>
    <w:rsid w:val="00861934"/>
    <w:rsid w:val="00874477"/>
    <w:rsid w:val="00874553"/>
    <w:rsid w:val="008767D4"/>
    <w:rsid w:val="0087796D"/>
    <w:rsid w:val="00881F1D"/>
    <w:rsid w:val="0088530C"/>
    <w:rsid w:val="0088540C"/>
    <w:rsid w:val="0088554E"/>
    <w:rsid w:val="0088632D"/>
    <w:rsid w:val="008865DB"/>
    <w:rsid w:val="00886812"/>
    <w:rsid w:val="00886B79"/>
    <w:rsid w:val="008922C1"/>
    <w:rsid w:val="0089510C"/>
    <w:rsid w:val="008A2F77"/>
    <w:rsid w:val="008A3126"/>
    <w:rsid w:val="008B0D48"/>
    <w:rsid w:val="008B1DA6"/>
    <w:rsid w:val="008B2905"/>
    <w:rsid w:val="008B461A"/>
    <w:rsid w:val="008B691F"/>
    <w:rsid w:val="008B7D84"/>
    <w:rsid w:val="008C00E2"/>
    <w:rsid w:val="008C25A6"/>
    <w:rsid w:val="008C2FAF"/>
    <w:rsid w:val="008C3774"/>
    <w:rsid w:val="008C44A2"/>
    <w:rsid w:val="008C47BD"/>
    <w:rsid w:val="008C55E8"/>
    <w:rsid w:val="008C5E8A"/>
    <w:rsid w:val="008D1A9F"/>
    <w:rsid w:val="008D39A7"/>
    <w:rsid w:val="008D6D81"/>
    <w:rsid w:val="008E06D4"/>
    <w:rsid w:val="008E4733"/>
    <w:rsid w:val="008E4AF1"/>
    <w:rsid w:val="008E507D"/>
    <w:rsid w:val="008E6ABB"/>
    <w:rsid w:val="008E7BE7"/>
    <w:rsid w:val="008F4D2E"/>
    <w:rsid w:val="00900138"/>
    <w:rsid w:val="00901221"/>
    <w:rsid w:val="00903476"/>
    <w:rsid w:val="00905CD6"/>
    <w:rsid w:val="00910040"/>
    <w:rsid w:val="00911050"/>
    <w:rsid w:val="009110C0"/>
    <w:rsid w:val="00912459"/>
    <w:rsid w:val="00913750"/>
    <w:rsid w:val="0091389D"/>
    <w:rsid w:val="00913C02"/>
    <w:rsid w:val="00924437"/>
    <w:rsid w:val="00925672"/>
    <w:rsid w:val="00926604"/>
    <w:rsid w:val="0093022C"/>
    <w:rsid w:val="0093170A"/>
    <w:rsid w:val="00932042"/>
    <w:rsid w:val="009328C7"/>
    <w:rsid w:val="00933A64"/>
    <w:rsid w:val="0093539C"/>
    <w:rsid w:val="009354ED"/>
    <w:rsid w:val="0093740E"/>
    <w:rsid w:val="00940DB6"/>
    <w:rsid w:val="0094183F"/>
    <w:rsid w:val="00943A6F"/>
    <w:rsid w:val="00943F77"/>
    <w:rsid w:val="009463A8"/>
    <w:rsid w:val="009469E9"/>
    <w:rsid w:val="00947ED1"/>
    <w:rsid w:val="009533EA"/>
    <w:rsid w:val="00955F53"/>
    <w:rsid w:val="00956A8F"/>
    <w:rsid w:val="00956AB5"/>
    <w:rsid w:val="0096117F"/>
    <w:rsid w:val="009623ED"/>
    <w:rsid w:val="00962FCB"/>
    <w:rsid w:val="00966011"/>
    <w:rsid w:val="00972455"/>
    <w:rsid w:val="009804FB"/>
    <w:rsid w:val="009815C0"/>
    <w:rsid w:val="0098340C"/>
    <w:rsid w:val="009838E7"/>
    <w:rsid w:val="009846AE"/>
    <w:rsid w:val="00985248"/>
    <w:rsid w:val="009856D1"/>
    <w:rsid w:val="009902D8"/>
    <w:rsid w:val="00991A59"/>
    <w:rsid w:val="009932DB"/>
    <w:rsid w:val="009937FD"/>
    <w:rsid w:val="00996E3E"/>
    <w:rsid w:val="009A1FDA"/>
    <w:rsid w:val="009A38F0"/>
    <w:rsid w:val="009A6592"/>
    <w:rsid w:val="009A662E"/>
    <w:rsid w:val="009A6A4D"/>
    <w:rsid w:val="009B0298"/>
    <w:rsid w:val="009B07F6"/>
    <w:rsid w:val="009C2C5F"/>
    <w:rsid w:val="009C62EE"/>
    <w:rsid w:val="009C6DBC"/>
    <w:rsid w:val="009D216E"/>
    <w:rsid w:val="009D22B3"/>
    <w:rsid w:val="009D3ECC"/>
    <w:rsid w:val="009D3EF4"/>
    <w:rsid w:val="009D486A"/>
    <w:rsid w:val="009D5B80"/>
    <w:rsid w:val="009D74DB"/>
    <w:rsid w:val="009E1B92"/>
    <w:rsid w:val="009E3D8C"/>
    <w:rsid w:val="009E5607"/>
    <w:rsid w:val="009E7C7E"/>
    <w:rsid w:val="009F02ED"/>
    <w:rsid w:val="009F422E"/>
    <w:rsid w:val="009F5F9D"/>
    <w:rsid w:val="00A02A6E"/>
    <w:rsid w:val="00A0516D"/>
    <w:rsid w:val="00A051DC"/>
    <w:rsid w:val="00A15E6C"/>
    <w:rsid w:val="00A2006E"/>
    <w:rsid w:val="00A2181A"/>
    <w:rsid w:val="00A22058"/>
    <w:rsid w:val="00A23566"/>
    <w:rsid w:val="00A246EC"/>
    <w:rsid w:val="00A25450"/>
    <w:rsid w:val="00A31386"/>
    <w:rsid w:val="00A31E37"/>
    <w:rsid w:val="00A320F1"/>
    <w:rsid w:val="00A326AD"/>
    <w:rsid w:val="00A32DB8"/>
    <w:rsid w:val="00A37FA1"/>
    <w:rsid w:val="00A40E0B"/>
    <w:rsid w:val="00A418D7"/>
    <w:rsid w:val="00A44F45"/>
    <w:rsid w:val="00A45C73"/>
    <w:rsid w:val="00A47389"/>
    <w:rsid w:val="00A5158C"/>
    <w:rsid w:val="00A520BA"/>
    <w:rsid w:val="00A530D7"/>
    <w:rsid w:val="00A57B2E"/>
    <w:rsid w:val="00A600AF"/>
    <w:rsid w:val="00A619ED"/>
    <w:rsid w:val="00A62547"/>
    <w:rsid w:val="00A64558"/>
    <w:rsid w:val="00A72C34"/>
    <w:rsid w:val="00A73F4D"/>
    <w:rsid w:val="00A742D8"/>
    <w:rsid w:val="00A75724"/>
    <w:rsid w:val="00A757A6"/>
    <w:rsid w:val="00A81290"/>
    <w:rsid w:val="00A818D2"/>
    <w:rsid w:val="00A82163"/>
    <w:rsid w:val="00A822C2"/>
    <w:rsid w:val="00A8270F"/>
    <w:rsid w:val="00A834E3"/>
    <w:rsid w:val="00A912DB"/>
    <w:rsid w:val="00A919BE"/>
    <w:rsid w:val="00A923E9"/>
    <w:rsid w:val="00A93791"/>
    <w:rsid w:val="00A94612"/>
    <w:rsid w:val="00A94679"/>
    <w:rsid w:val="00A95216"/>
    <w:rsid w:val="00A97D55"/>
    <w:rsid w:val="00AA2214"/>
    <w:rsid w:val="00AA39DB"/>
    <w:rsid w:val="00AB3D9E"/>
    <w:rsid w:val="00AB5273"/>
    <w:rsid w:val="00AB635B"/>
    <w:rsid w:val="00AC4DA0"/>
    <w:rsid w:val="00AC54A6"/>
    <w:rsid w:val="00AC6371"/>
    <w:rsid w:val="00AC647D"/>
    <w:rsid w:val="00AC6541"/>
    <w:rsid w:val="00AC6C11"/>
    <w:rsid w:val="00AD01F8"/>
    <w:rsid w:val="00AD5F13"/>
    <w:rsid w:val="00AE19D5"/>
    <w:rsid w:val="00AE313D"/>
    <w:rsid w:val="00AE7821"/>
    <w:rsid w:val="00AF085A"/>
    <w:rsid w:val="00AF0C88"/>
    <w:rsid w:val="00AF1954"/>
    <w:rsid w:val="00AF37CC"/>
    <w:rsid w:val="00AF56AE"/>
    <w:rsid w:val="00AF56EE"/>
    <w:rsid w:val="00AF68B8"/>
    <w:rsid w:val="00AF69AF"/>
    <w:rsid w:val="00AF7882"/>
    <w:rsid w:val="00B00FC1"/>
    <w:rsid w:val="00B012BE"/>
    <w:rsid w:val="00B03A3D"/>
    <w:rsid w:val="00B03A94"/>
    <w:rsid w:val="00B04EC7"/>
    <w:rsid w:val="00B067DB"/>
    <w:rsid w:val="00B06A82"/>
    <w:rsid w:val="00B1208A"/>
    <w:rsid w:val="00B15BF9"/>
    <w:rsid w:val="00B15E15"/>
    <w:rsid w:val="00B172A7"/>
    <w:rsid w:val="00B175C3"/>
    <w:rsid w:val="00B20023"/>
    <w:rsid w:val="00B23B44"/>
    <w:rsid w:val="00B24AD2"/>
    <w:rsid w:val="00B24E2A"/>
    <w:rsid w:val="00B378A5"/>
    <w:rsid w:val="00B406A3"/>
    <w:rsid w:val="00B45AC5"/>
    <w:rsid w:val="00B45F14"/>
    <w:rsid w:val="00B4653F"/>
    <w:rsid w:val="00B46695"/>
    <w:rsid w:val="00B46A70"/>
    <w:rsid w:val="00B4732B"/>
    <w:rsid w:val="00B512DC"/>
    <w:rsid w:val="00B51F95"/>
    <w:rsid w:val="00B52D4B"/>
    <w:rsid w:val="00B5342B"/>
    <w:rsid w:val="00B55068"/>
    <w:rsid w:val="00B56103"/>
    <w:rsid w:val="00B56DAC"/>
    <w:rsid w:val="00B60478"/>
    <w:rsid w:val="00B6155F"/>
    <w:rsid w:val="00B619B3"/>
    <w:rsid w:val="00B635A2"/>
    <w:rsid w:val="00B649C7"/>
    <w:rsid w:val="00B64ACD"/>
    <w:rsid w:val="00B65371"/>
    <w:rsid w:val="00B65B8A"/>
    <w:rsid w:val="00B65C8B"/>
    <w:rsid w:val="00B66C9A"/>
    <w:rsid w:val="00B70DC5"/>
    <w:rsid w:val="00B715BB"/>
    <w:rsid w:val="00B71C58"/>
    <w:rsid w:val="00B72B72"/>
    <w:rsid w:val="00B740AA"/>
    <w:rsid w:val="00B75D14"/>
    <w:rsid w:val="00B75EBC"/>
    <w:rsid w:val="00B77261"/>
    <w:rsid w:val="00B77FBA"/>
    <w:rsid w:val="00B802BB"/>
    <w:rsid w:val="00B80C8D"/>
    <w:rsid w:val="00B80E23"/>
    <w:rsid w:val="00B81D5E"/>
    <w:rsid w:val="00B82B8B"/>
    <w:rsid w:val="00B8360F"/>
    <w:rsid w:val="00B843E5"/>
    <w:rsid w:val="00B84483"/>
    <w:rsid w:val="00B85A75"/>
    <w:rsid w:val="00B87266"/>
    <w:rsid w:val="00B90EBA"/>
    <w:rsid w:val="00B9189F"/>
    <w:rsid w:val="00B91D33"/>
    <w:rsid w:val="00B92BDD"/>
    <w:rsid w:val="00B92F1A"/>
    <w:rsid w:val="00B9537C"/>
    <w:rsid w:val="00B95616"/>
    <w:rsid w:val="00BA11D4"/>
    <w:rsid w:val="00BA255C"/>
    <w:rsid w:val="00BA3018"/>
    <w:rsid w:val="00BA48B1"/>
    <w:rsid w:val="00BB0B8A"/>
    <w:rsid w:val="00BB3404"/>
    <w:rsid w:val="00BB3BD7"/>
    <w:rsid w:val="00BB3D81"/>
    <w:rsid w:val="00BB759A"/>
    <w:rsid w:val="00BC0382"/>
    <w:rsid w:val="00BC1463"/>
    <w:rsid w:val="00BC24E1"/>
    <w:rsid w:val="00BC55BE"/>
    <w:rsid w:val="00BC5A6F"/>
    <w:rsid w:val="00BC64DF"/>
    <w:rsid w:val="00BC6C56"/>
    <w:rsid w:val="00BC7D50"/>
    <w:rsid w:val="00BD0268"/>
    <w:rsid w:val="00BD1656"/>
    <w:rsid w:val="00BD3AC0"/>
    <w:rsid w:val="00BE1BED"/>
    <w:rsid w:val="00BE1D93"/>
    <w:rsid w:val="00BE3F20"/>
    <w:rsid w:val="00BE5C41"/>
    <w:rsid w:val="00BF1186"/>
    <w:rsid w:val="00BF1F3B"/>
    <w:rsid w:val="00BF37B4"/>
    <w:rsid w:val="00C11710"/>
    <w:rsid w:val="00C12317"/>
    <w:rsid w:val="00C1316F"/>
    <w:rsid w:val="00C217D1"/>
    <w:rsid w:val="00C25ABE"/>
    <w:rsid w:val="00C25B15"/>
    <w:rsid w:val="00C30B69"/>
    <w:rsid w:val="00C340FA"/>
    <w:rsid w:val="00C36BB1"/>
    <w:rsid w:val="00C4084F"/>
    <w:rsid w:val="00C41E9D"/>
    <w:rsid w:val="00C44746"/>
    <w:rsid w:val="00C45107"/>
    <w:rsid w:val="00C467C6"/>
    <w:rsid w:val="00C4796C"/>
    <w:rsid w:val="00C51905"/>
    <w:rsid w:val="00C52476"/>
    <w:rsid w:val="00C55DCB"/>
    <w:rsid w:val="00C566CB"/>
    <w:rsid w:val="00C606F2"/>
    <w:rsid w:val="00C626E5"/>
    <w:rsid w:val="00C64346"/>
    <w:rsid w:val="00C65E3F"/>
    <w:rsid w:val="00C704D7"/>
    <w:rsid w:val="00C76379"/>
    <w:rsid w:val="00C76D6D"/>
    <w:rsid w:val="00C80720"/>
    <w:rsid w:val="00C819AF"/>
    <w:rsid w:val="00C820A2"/>
    <w:rsid w:val="00C83578"/>
    <w:rsid w:val="00C8543A"/>
    <w:rsid w:val="00C85E1B"/>
    <w:rsid w:val="00C867CE"/>
    <w:rsid w:val="00C90D3A"/>
    <w:rsid w:val="00C94E64"/>
    <w:rsid w:val="00C95049"/>
    <w:rsid w:val="00C95688"/>
    <w:rsid w:val="00C964AC"/>
    <w:rsid w:val="00C972AD"/>
    <w:rsid w:val="00C97E3A"/>
    <w:rsid w:val="00CA0529"/>
    <w:rsid w:val="00CA22EB"/>
    <w:rsid w:val="00CA2343"/>
    <w:rsid w:val="00CA37A0"/>
    <w:rsid w:val="00CA4AB2"/>
    <w:rsid w:val="00CA5D08"/>
    <w:rsid w:val="00CA5D34"/>
    <w:rsid w:val="00CB2734"/>
    <w:rsid w:val="00CB2CDB"/>
    <w:rsid w:val="00CB30DE"/>
    <w:rsid w:val="00CB40B1"/>
    <w:rsid w:val="00CB4721"/>
    <w:rsid w:val="00CB57E0"/>
    <w:rsid w:val="00CC4347"/>
    <w:rsid w:val="00CC4DA2"/>
    <w:rsid w:val="00CC5B28"/>
    <w:rsid w:val="00CC6DB3"/>
    <w:rsid w:val="00CC768B"/>
    <w:rsid w:val="00CC7E32"/>
    <w:rsid w:val="00CD2033"/>
    <w:rsid w:val="00CD4C1D"/>
    <w:rsid w:val="00CD6FDC"/>
    <w:rsid w:val="00CD7329"/>
    <w:rsid w:val="00CE23CD"/>
    <w:rsid w:val="00CE475E"/>
    <w:rsid w:val="00CE517F"/>
    <w:rsid w:val="00CE58E7"/>
    <w:rsid w:val="00CF39BB"/>
    <w:rsid w:val="00CF4ED2"/>
    <w:rsid w:val="00CF7EC8"/>
    <w:rsid w:val="00D00198"/>
    <w:rsid w:val="00D00A57"/>
    <w:rsid w:val="00D01A7D"/>
    <w:rsid w:val="00D0243C"/>
    <w:rsid w:val="00D03F53"/>
    <w:rsid w:val="00D0468E"/>
    <w:rsid w:val="00D07C4D"/>
    <w:rsid w:val="00D106EA"/>
    <w:rsid w:val="00D12181"/>
    <w:rsid w:val="00D146EE"/>
    <w:rsid w:val="00D20FBA"/>
    <w:rsid w:val="00D23055"/>
    <w:rsid w:val="00D2470C"/>
    <w:rsid w:val="00D25352"/>
    <w:rsid w:val="00D26307"/>
    <w:rsid w:val="00D30678"/>
    <w:rsid w:val="00D3104D"/>
    <w:rsid w:val="00D40149"/>
    <w:rsid w:val="00D40DDD"/>
    <w:rsid w:val="00D42C08"/>
    <w:rsid w:val="00D43A15"/>
    <w:rsid w:val="00D51B7F"/>
    <w:rsid w:val="00D55C89"/>
    <w:rsid w:val="00D55E60"/>
    <w:rsid w:val="00D56572"/>
    <w:rsid w:val="00D605CB"/>
    <w:rsid w:val="00D60678"/>
    <w:rsid w:val="00D63AC3"/>
    <w:rsid w:val="00D65394"/>
    <w:rsid w:val="00D70B71"/>
    <w:rsid w:val="00D70C35"/>
    <w:rsid w:val="00D72DF4"/>
    <w:rsid w:val="00D740B3"/>
    <w:rsid w:val="00D75C28"/>
    <w:rsid w:val="00D75D23"/>
    <w:rsid w:val="00D771E3"/>
    <w:rsid w:val="00D77B93"/>
    <w:rsid w:val="00D813FD"/>
    <w:rsid w:val="00D83111"/>
    <w:rsid w:val="00D833DA"/>
    <w:rsid w:val="00D8377E"/>
    <w:rsid w:val="00D83AAE"/>
    <w:rsid w:val="00D87557"/>
    <w:rsid w:val="00D912E6"/>
    <w:rsid w:val="00D91DE3"/>
    <w:rsid w:val="00D93B0C"/>
    <w:rsid w:val="00D950CA"/>
    <w:rsid w:val="00D96EF3"/>
    <w:rsid w:val="00D9790D"/>
    <w:rsid w:val="00DA3EE3"/>
    <w:rsid w:val="00DA6805"/>
    <w:rsid w:val="00DB1D1A"/>
    <w:rsid w:val="00DB2577"/>
    <w:rsid w:val="00DB36EC"/>
    <w:rsid w:val="00DB3966"/>
    <w:rsid w:val="00DB3FD9"/>
    <w:rsid w:val="00DB49C7"/>
    <w:rsid w:val="00DB62BC"/>
    <w:rsid w:val="00DC153B"/>
    <w:rsid w:val="00DC2330"/>
    <w:rsid w:val="00DC3B7C"/>
    <w:rsid w:val="00DC533C"/>
    <w:rsid w:val="00DC62B8"/>
    <w:rsid w:val="00DD027A"/>
    <w:rsid w:val="00DD4874"/>
    <w:rsid w:val="00DD5A99"/>
    <w:rsid w:val="00DD6895"/>
    <w:rsid w:val="00DD7E95"/>
    <w:rsid w:val="00DE19E7"/>
    <w:rsid w:val="00DE1DA0"/>
    <w:rsid w:val="00DE4D91"/>
    <w:rsid w:val="00DE7996"/>
    <w:rsid w:val="00DE7BCA"/>
    <w:rsid w:val="00DF4EF9"/>
    <w:rsid w:val="00DF5067"/>
    <w:rsid w:val="00DF6778"/>
    <w:rsid w:val="00DF6B72"/>
    <w:rsid w:val="00DF7F69"/>
    <w:rsid w:val="00E00B79"/>
    <w:rsid w:val="00E00FE2"/>
    <w:rsid w:val="00E014D3"/>
    <w:rsid w:val="00E01A04"/>
    <w:rsid w:val="00E03229"/>
    <w:rsid w:val="00E049C5"/>
    <w:rsid w:val="00E04F5B"/>
    <w:rsid w:val="00E055C5"/>
    <w:rsid w:val="00E1026A"/>
    <w:rsid w:val="00E12A59"/>
    <w:rsid w:val="00E12FE7"/>
    <w:rsid w:val="00E13122"/>
    <w:rsid w:val="00E1786B"/>
    <w:rsid w:val="00E24E02"/>
    <w:rsid w:val="00E258F6"/>
    <w:rsid w:val="00E2694E"/>
    <w:rsid w:val="00E310C1"/>
    <w:rsid w:val="00E32078"/>
    <w:rsid w:val="00E35382"/>
    <w:rsid w:val="00E3616B"/>
    <w:rsid w:val="00E3682F"/>
    <w:rsid w:val="00E37B35"/>
    <w:rsid w:val="00E37E29"/>
    <w:rsid w:val="00E4036D"/>
    <w:rsid w:val="00E44146"/>
    <w:rsid w:val="00E44489"/>
    <w:rsid w:val="00E45261"/>
    <w:rsid w:val="00E46E77"/>
    <w:rsid w:val="00E479BE"/>
    <w:rsid w:val="00E5230D"/>
    <w:rsid w:val="00E52EA3"/>
    <w:rsid w:val="00E54A60"/>
    <w:rsid w:val="00E569E7"/>
    <w:rsid w:val="00E614F2"/>
    <w:rsid w:val="00E61ED5"/>
    <w:rsid w:val="00E61EF4"/>
    <w:rsid w:val="00E64464"/>
    <w:rsid w:val="00E6492B"/>
    <w:rsid w:val="00E71F20"/>
    <w:rsid w:val="00E75828"/>
    <w:rsid w:val="00E80DE0"/>
    <w:rsid w:val="00E83FC9"/>
    <w:rsid w:val="00E841DC"/>
    <w:rsid w:val="00E85307"/>
    <w:rsid w:val="00E85A3C"/>
    <w:rsid w:val="00E8671D"/>
    <w:rsid w:val="00E8672D"/>
    <w:rsid w:val="00E8702C"/>
    <w:rsid w:val="00E87068"/>
    <w:rsid w:val="00E9076A"/>
    <w:rsid w:val="00E90DFA"/>
    <w:rsid w:val="00E9787B"/>
    <w:rsid w:val="00EA45F4"/>
    <w:rsid w:val="00EA49A3"/>
    <w:rsid w:val="00EA4D59"/>
    <w:rsid w:val="00EA54AC"/>
    <w:rsid w:val="00EA58CD"/>
    <w:rsid w:val="00EB0DCF"/>
    <w:rsid w:val="00EB1936"/>
    <w:rsid w:val="00EB1B9C"/>
    <w:rsid w:val="00EB4EB9"/>
    <w:rsid w:val="00EB76E3"/>
    <w:rsid w:val="00EB77E8"/>
    <w:rsid w:val="00EC07E1"/>
    <w:rsid w:val="00EC2773"/>
    <w:rsid w:val="00EC2CFD"/>
    <w:rsid w:val="00EC2DEE"/>
    <w:rsid w:val="00EC5A2C"/>
    <w:rsid w:val="00EC63D1"/>
    <w:rsid w:val="00EC66DB"/>
    <w:rsid w:val="00ED355D"/>
    <w:rsid w:val="00ED4F38"/>
    <w:rsid w:val="00ED770F"/>
    <w:rsid w:val="00EE26F0"/>
    <w:rsid w:val="00EE38F3"/>
    <w:rsid w:val="00EE3FB2"/>
    <w:rsid w:val="00EE5DFB"/>
    <w:rsid w:val="00EF0CB0"/>
    <w:rsid w:val="00EF159D"/>
    <w:rsid w:val="00EF2BCD"/>
    <w:rsid w:val="00EF2E06"/>
    <w:rsid w:val="00EF3C29"/>
    <w:rsid w:val="00EF76F1"/>
    <w:rsid w:val="00F03D0E"/>
    <w:rsid w:val="00F04C13"/>
    <w:rsid w:val="00F07218"/>
    <w:rsid w:val="00F07F57"/>
    <w:rsid w:val="00F11680"/>
    <w:rsid w:val="00F12B24"/>
    <w:rsid w:val="00F15A49"/>
    <w:rsid w:val="00F16A8B"/>
    <w:rsid w:val="00F178FB"/>
    <w:rsid w:val="00F211CE"/>
    <w:rsid w:val="00F22B00"/>
    <w:rsid w:val="00F22E6F"/>
    <w:rsid w:val="00F235BB"/>
    <w:rsid w:val="00F30808"/>
    <w:rsid w:val="00F3250F"/>
    <w:rsid w:val="00F3288D"/>
    <w:rsid w:val="00F339E7"/>
    <w:rsid w:val="00F33ED6"/>
    <w:rsid w:val="00F34BB3"/>
    <w:rsid w:val="00F35DD3"/>
    <w:rsid w:val="00F37C63"/>
    <w:rsid w:val="00F40423"/>
    <w:rsid w:val="00F406CF"/>
    <w:rsid w:val="00F420DB"/>
    <w:rsid w:val="00F4255B"/>
    <w:rsid w:val="00F425D3"/>
    <w:rsid w:val="00F45A62"/>
    <w:rsid w:val="00F46DC8"/>
    <w:rsid w:val="00F509F5"/>
    <w:rsid w:val="00F511AE"/>
    <w:rsid w:val="00F53F0B"/>
    <w:rsid w:val="00F540E3"/>
    <w:rsid w:val="00F56014"/>
    <w:rsid w:val="00F5669B"/>
    <w:rsid w:val="00F57AFD"/>
    <w:rsid w:val="00F57D09"/>
    <w:rsid w:val="00F60F3B"/>
    <w:rsid w:val="00F617D1"/>
    <w:rsid w:val="00F62BA6"/>
    <w:rsid w:val="00F64A61"/>
    <w:rsid w:val="00F6573B"/>
    <w:rsid w:val="00F726DF"/>
    <w:rsid w:val="00F73513"/>
    <w:rsid w:val="00F74915"/>
    <w:rsid w:val="00F756A9"/>
    <w:rsid w:val="00F7689D"/>
    <w:rsid w:val="00F77A6D"/>
    <w:rsid w:val="00F77E00"/>
    <w:rsid w:val="00F8403B"/>
    <w:rsid w:val="00F862B6"/>
    <w:rsid w:val="00F91743"/>
    <w:rsid w:val="00F9202A"/>
    <w:rsid w:val="00F93CC4"/>
    <w:rsid w:val="00F94AF6"/>
    <w:rsid w:val="00F95EE1"/>
    <w:rsid w:val="00F9701F"/>
    <w:rsid w:val="00F97407"/>
    <w:rsid w:val="00F97566"/>
    <w:rsid w:val="00FA21F6"/>
    <w:rsid w:val="00FA25ED"/>
    <w:rsid w:val="00FA2934"/>
    <w:rsid w:val="00FB1C4F"/>
    <w:rsid w:val="00FB51E2"/>
    <w:rsid w:val="00FB613C"/>
    <w:rsid w:val="00FB721A"/>
    <w:rsid w:val="00FC0D2B"/>
    <w:rsid w:val="00FC2037"/>
    <w:rsid w:val="00FC5631"/>
    <w:rsid w:val="00FC7310"/>
    <w:rsid w:val="00FC7D08"/>
    <w:rsid w:val="00FD0017"/>
    <w:rsid w:val="00FD0C18"/>
    <w:rsid w:val="00FD0ED6"/>
    <w:rsid w:val="00FD4D8D"/>
    <w:rsid w:val="00FD52F0"/>
    <w:rsid w:val="00FD5C8B"/>
    <w:rsid w:val="00FD6D1A"/>
    <w:rsid w:val="00FE015C"/>
    <w:rsid w:val="00FE0298"/>
    <w:rsid w:val="00FE3028"/>
    <w:rsid w:val="00FE33A4"/>
    <w:rsid w:val="00FE5275"/>
    <w:rsid w:val="00FE65E7"/>
    <w:rsid w:val="00FE760E"/>
    <w:rsid w:val="00FE775C"/>
    <w:rsid w:val="00FF2191"/>
    <w:rsid w:val="00FF2C9D"/>
    <w:rsid w:val="00FF452B"/>
    <w:rsid w:val="00FF4727"/>
    <w:rsid w:val="00FF7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Calibri" w:cs="Times New Roman" w:eastAsia="Calibri" w:hAnsi="Calibri"/>
        <w:lang w:val="ru-RU" w:bidi="ar-SA" w:eastAsia="ru-RU"/>
      </w:rPr>
    </w:rPrDefault>
    <w:pPrDefault/>
  </w:docDefaults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Заголовок1Знак"/>
    <w:uiPriority w:val="9"/>
    <w:qFormat w:val="on"/>
    <w:pPr>
      <w:keepNext w:val="on"/>
      <w:ind w:firstLine="0"/>
      <w:jc w:val="center"/>
    </w:pPr>
    <w:rPr>
      <w:sz w:val="28"/>
      <w:szCs w:val="28"/>
    </w:rPr>
  </w:style>
  <w:style w:type="paragraph" w:styleId="Heading2">
    <w:name w:val="Heading 2"/>
    <w:basedOn w:val="Normal"/>
    <w:next w:val="Normal"/>
    <w:link w:val="Заголовок2Знак"/>
    <w:uiPriority w:val="99"/>
    <w:qFormat w:val="on"/>
    <w:pPr>
      <w:keepNext w:val="on"/>
      <w:ind w:firstLine="0"/>
      <w:jc w:val="center"/>
    </w:pPr>
    <w:rPr>
      <w:b/>
      <w:bCs/>
      <w:sz w:val="28"/>
    </w:rPr>
  </w:style>
  <w:style w:type="paragraph" w:styleId="Heading3">
    <w:name w:val="Heading 3"/>
    <w:basedOn w:val="Normal"/>
    <w:next w:val="Normal"/>
    <w:link w:val="Заголовок3Знак"/>
    <w:uiPriority w:val="9"/>
    <w:qFormat w:val="on"/>
    <w:pPr>
      <w:keepNext w:val="on"/>
      <w:spacing w:before="240"/>
      <w:ind w:firstLine="851"/>
    </w:pPr>
    <w:rPr>
      <w:b/>
      <w:bCs/>
    </w:rPr>
  </w:style>
  <w:style w:type="paragraph" w:styleId="Heading4">
    <w:name w:val="Heading 4"/>
    <w:basedOn w:val="Normal"/>
    <w:next w:val="Normal"/>
    <w:link w:val="Заголовок4Знак"/>
    <w:uiPriority w:val="99"/>
    <w:unhideWhenUsed w:val="on"/>
    <w:qFormat w:val="on"/>
    <w:pPr>
      <w:keepNext w:val="on"/>
      <w:spacing w:before="240" w:after="60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Заголовок5Знак"/>
    <w:uiPriority w:val="9"/>
    <w:qFormat w:val="on"/>
    <w:pPr>
      <w:keepNext w:val="on"/>
      <w:widowControl w:val="off"/>
      <w:spacing w:before="80" w:after="80"/>
    </w:pPr>
    <w:rPr>
      <w:b/>
      <w:bCs/>
      <w:sz w:val="36"/>
      <w:szCs w:val="36"/>
    </w:rPr>
  </w:style>
  <w:style w:type="paragraph" w:styleId="Heading6">
    <w:name w:val="Heading 6"/>
    <w:basedOn w:val="Normal"/>
    <w:next w:val="Normal"/>
    <w:link w:val="Заголовок6Знак"/>
    <w:uiPriority w:val="99"/>
    <w:unhideWhenUsed w:val="on"/>
    <w:qFormat w:val="on"/>
    <w:pPr>
      <w:spacing w:before="240" w:after="60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Заголовок7Знак"/>
    <w:uiPriority w:val="9"/>
    <w:unhideWhenUsed w:val="on"/>
    <w:qFormat w:val="on"/>
    <w:pPr>
      <w:keepNext w:val="on"/>
      <w:keepLines w:val="on"/>
      <w:spacing w:before="200" w:line="276" w:lineRule="auto"/>
      <w:ind w:firstLine="0"/>
      <w:jc w:val="left"/>
    </w:pPr>
    <w:rPr>
      <w:rFonts w:ascii="Cambria" w:hAnsi="Cambria"/>
      <w:b/>
      <w:iCs/>
      <w:sz w:val="22"/>
      <w:szCs w:val="22"/>
    </w:rPr>
  </w:style>
  <w:style w:type="paragraph" w:styleId="Heading8">
    <w:name w:val="Heading 8"/>
    <w:basedOn w:val="Normal"/>
    <w:next w:val="Normal"/>
    <w:link w:val="Заголовок8Знак"/>
    <w:uiPriority w:val="9"/>
    <w:unhideWhenUsed w:val="on"/>
    <w:qFormat w:val="on"/>
    <w:pPr>
      <w:keepNext w:val="on"/>
      <w:keepLines w:val="on"/>
      <w:spacing w:before="200" w:line="276" w:lineRule="auto"/>
      <w:ind w:firstLine="0"/>
      <w:jc w:val="left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Заголовок9Знак"/>
    <w:uiPriority w:val="9"/>
    <w:unhideWhenUsed w:val="on"/>
    <w:qFormat w:val="on"/>
    <w:pPr>
      <w:keepNext w:val="on"/>
      <w:keepLines w:val="on"/>
      <w:spacing w:before="200" w:line="276" w:lineRule="auto"/>
      <w:ind w:firstLine="0"/>
      <w:jc w:val="left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Заголовок1Знак">
    <w:name w:val="Заголовок 1 Знак"/>
    <w:link w:val="Heading1"/>
    <w:uiPriority w:val="9"/>
    <w:rPr>
      <w:rFonts w:ascii="Times New Roman" w:cs="Times New Roman" w:eastAsia="Times New Roman" w:hAnsi="Times New Roman"/>
      <w:sz w:val="28"/>
      <w:szCs w:val="28"/>
      <w:lang w:eastAsia="ru-RU"/>
    </w:rPr>
  </w:style>
  <w:style w:type="character" w:customStyle="1" w:styleId="Заголовок2Знак">
    <w:name w:val="Заголовок 2 Знак"/>
    <w:link w:val="Heading2"/>
    <w:uiPriority w:val="99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Заголовок3Знак">
    <w:name w:val="Заголовок 3 Знак"/>
    <w:link w:val="Heading3"/>
    <w:uiPriority w:val="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Заголовок4Знак">
    <w:name w:val="Заголовок 4 Знак"/>
    <w:link w:val="Heading4"/>
    <w:uiPriority w:val="99"/>
    <w:rPr>
      <w:rFonts w:ascii="Calibri" w:cs="Times New Roman" w:eastAsia="Times New Roman" w:hAnsi="Calibri"/>
      <w:b/>
      <w:bCs/>
      <w:sz w:val="28"/>
      <w:szCs w:val="28"/>
    </w:rPr>
  </w:style>
  <w:style w:type="character" w:customStyle="1" w:styleId="Заголовок5Знак">
    <w:name w:val="Заголовок 5 Знак"/>
    <w:link w:val="Heading5"/>
    <w:uiPriority w:val="9"/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type="character" w:customStyle="1" w:styleId="Заголовок6Знак">
    <w:name w:val="Заголовок 6 Знак"/>
    <w:link w:val="Heading6"/>
    <w:uiPriority w:val="99"/>
    <w:rPr>
      <w:rFonts w:ascii="Calibri" w:cs="Times New Roman" w:eastAsia="Times New Roman" w:hAnsi="Calibri"/>
      <w:b/>
      <w:bCs/>
      <w:sz w:val="22"/>
      <w:szCs w:val="22"/>
    </w:rPr>
  </w:style>
  <w:style w:type="character" w:customStyle="1" w:styleId="Заголовок7Знак">
    <w:name w:val="Заголовок 7 Знак"/>
    <w:link w:val="Heading7"/>
    <w:uiPriority w:val="9"/>
    <w:rPr>
      <w:rFonts w:ascii="Cambria" w:eastAsia="Times New Roman" w:hAnsi="Cambria"/>
      <w:b/>
      <w:iCs/>
      <w:sz w:val="22"/>
      <w:szCs w:val="22"/>
    </w:rPr>
  </w:style>
  <w:style w:type="character" w:customStyle="1" w:styleId="Заголовок8Знак">
    <w:name w:val="Заголовок 8 Знак"/>
    <w:link w:val="Heading8"/>
    <w:uiPriority w:val="9"/>
    <w:rPr>
      <w:rFonts w:ascii="Cambria" w:eastAsia="Times New Roman" w:hAnsi="Cambria"/>
      <w:color w:val="404040"/>
    </w:rPr>
  </w:style>
  <w:style w:type="character" w:customStyle="1" w:styleId="Заголовок9Знак">
    <w:name w:val="Заголовок 9 Знак"/>
    <w:link w:val="Heading9"/>
    <w:uiPriority w:val="9"/>
    <w:rPr>
      <w:rFonts w:ascii="Cambria" w:eastAsia="Times New Roman" w:hAnsi="Cambria"/>
      <w:i/>
      <w:iCs/>
      <w:color w:val="404040"/>
    </w:rPr>
  </w:style>
  <w:style w:type="paragraph" w:styleId="BodyTextIndent">
    <w:name w:val="Body Text Indent"/>
    <w:basedOn w:val="Normal"/>
    <w:link w:val="ОсновнойтекстсотступомЗнак"/>
    <w:uiPriority w:val="99"/>
    <w:pPr>
      <w:ind w:left="360"/>
      <w:jc w:val="center"/>
    </w:pPr>
    <w:rPr>
      <w:sz w:val="32"/>
      <w:szCs w:val="32"/>
    </w:rPr>
  </w:style>
  <w:style w:type="character" w:customStyle="1" w:styleId="ОсновнойтекстсотступомЗнак">
    <w:name w:val="Основной текст с отступом Знак"/>
    <w:link w:val="BodyTextIndent"/>
    <w:uiPriority w:val="99"/>
    <w:rPr>
      <w:rFonts w:ascii="Times New Roman" w:cs="Times New Roman" w:eastAsia="Times New Roman" w:hAnsi="Times New Roman"/>
      <w:sz w:val="32"/>
      <w:szCs w:val="32"/>
      <w:lang w:eastAsia="ru-RU"/>
    </w:rPr>
  </w:style>
  <w:style w:type="paragraph" w:styleId="BodyTextIndent3">
    <w:name w:val="Body Text Indent 3"/>
    <w:basedOn w:val="Normal"/>
    <w:link w:val="Основнойтекстсотступом3Знак"/>
    <w:uiPriority w:val="99"/>
    <w:pPr>
      <w:ind w:left="360" w:hanging="360"/>
    </w:pPr>
    <w:rPr>
      <w:b/>
      <w:bCs/>
      <w:sz w:val="28"/>
      <w:szCs w:val="28"/>
    </w:rPr>
  </w:style>
  <w:style w:type="character" w:customStyle="1" w:styleId="Основнойтекстсотступом3Знак">
    <w:name w:val="Основной текст с отступом 3 Знак"/>
    <w:link w:val="BodyTextIndent3"/>
    <w:uiPriority w:val="99"/>
    <w:rPr>
      <w:rFonts w:ascii="Times New Roman" w:cs="Times New Roman" w:eastAsia="Times New Roman" w:hAnsi="Times New Roman"/>
      <w:b/>
      <w:bCs/>
      <w:sz w:val="28"/>
      <w:szCs w:val="28"/>
      <w:lang w:eastAsia="ru-RU"/>
    </w:rPr>
  </w:style>
  <w:style w:type="paragraph" w:styleId="BodyText2">
    <w:name w:val="Body Text 2"/>
    <w:basedOn w:val="Normal"/>
    <w:link w:val="Основнойтекст2Знак"/>
    <w:uiPriority w:val="99"/>
    <w:pPr>
      <w:tabs>
        <w:tab w:val="left" w:pos="709"/>
      </w:tabs>
      <w:jc w:val="center"/>
    </w:pPr>
    <w:rPr>
      <w:rFonts w:ascii="TimesET" w:hAnsi="TimesET"/>
      <w:b/>
      <w:bCs/>
    </w:rPr>
  </w:style>
  <w:style w:type="character" w:customStyle="1" w:styleId="Основнойтекст2Знак">
    <w:name w:val="Основной текст 2 Знак"/>
    <w:link w:val="BodyText2"/>
    <w:uiPriority w:val="99"/>
    <w:rPr>
      <w:rFonts w:ascii="TimesET" w:cs="TimesET" w:eastAsia="Times New Roman" w:hAnsi="TimesET"/>
      <w:b/>
      <w:bCs/>
      <w:sz w:val="24"/>
      <w:szCs w:val="24"/>
      <w:lang w:eastAsia="ru-RU"/>
    </w:rPr>
  </w:style>
  <w:style w:type="paragraph" w:styleId="BodyText">
    <w:name w:val="Body Text"/>
    <w:basedOn w:val="Normal"/>
    <w:link w:val="ОсновнойтекстЗнак"/>
    <w:uiPriority w:val="99"/>
    <w:pPr>
      <w:widowControl w:val="off"/>
    </w:pPr>
  </w:style>
  <w:style w:type="character" w:customStyle="1" w:styleId="ОсновнойтекстЗнак">
    <w:name w:val="Основной текст Знак"/>
    <w:link w:val="BodyText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Основнойтекстсотступом2Знак"/>
    <w:uiPriority w:val="99"/>
    <w:pPr>
      <w:ind w:left="540" w:hanging="540"/>
    </w:pPr>
    <w:rPr>
      <w:b/>
      <w:bCs/>
    </w:rPr>
  </w:style>
  <w:style w:type="character" w:customStyle="1" w:styleId="Основнойтекстсотступом2Знак">
    <w:name w:val="Основной текст с отступом 2 Знак"/>
    <w:link w:val="BodyTextIndent2"/>
    <w:uiPriority w:val="99"/>
    <w:rPr>
      <w:rFonts w:ascii="Times New Roman" w:cs="Times New Roman" w:eastAsia="Times New Roman" w:hAnsi="Times New Roman"/>
      <w:b/>
      <w:bCs/>
      <w:sz w:val="24"/>
      <w:szCs w:val="24"/>
      <w:lang w:eastAsia="ru-RU"/>
    </w:rPr>
  </w:style>
  <w:style w:type="paragraph" w:customStyle="1" w:styleId="Готовый">
    <w:name w:val="Готовый"/>
    <w:basedOn w:val="Normal"/>
    <w:uiPriority w:val="99"/>
    <w:pPr>
      <w:widowControl w:val="off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cs="Courier New" w:hAnsi="Courier New"/>
      <w:sz w:val="20"/>
      <w:szCs w:val="20"/>
    </w:rPr>
  </w:style>
  <w:style w:type="paragraph" w:styleId="Footnotetext">
    <w:name w:val="Footnote text"/>
    <w:basedOn w:val="Normal"/>
    <w:link w:val="ТекстсноскиЗнак"/>
    <w:uiPriority w:val="99"/>
    <w:semiHidden w:val="on"/>
    <w:rPr>
      <w:sz w:val="20"/>
      <w:szCs w:val="20"/>
    </w:rPr>
  </w:style>
  <w:style w:type="character" w:customStyle="1" w:styleId="ТекстсноскиЗнак">
    <w:name w:val="Текст сноски Знак"/>
    <w:link w:val="Footnotetext"/>
    <w:uiPriority w:val="99"/>
    <w:semiHidden w:val="on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customStyle="1" w:styleId="ConsNormal">
    <w:name w:val="ConsNormal"/>
    <w:uiPriority w:val="99"/>
    <w:pPr>
      <w:widowControl w:val="off"/>
      <w:ind w:right="19772" w:firstLine="720"/>
    </w:pPr>
    <w:rPr>
      <w:rFonts w:ascii="Arial" w:cs="Arial" w:eastAsia="Times New Roman" w:hAnsi="Arial"/>
    </w:rPr>
  </w:style>
  <w:style w:type="paragraph" w:customStyle="1" w:styleId="ConsTitle">
    <w:name w:val="ConsTitle"/>
    <w:uiPriority w:val="99"/>
    <w:pPr>
      <w:widowControl w:val="off"/>
      <w:ind w:right="19772"/>
    </w:pPr>
    <w:rPr>
      <w:rFonts w:ascii="Arial" w:cs="Arial" w:eastAsia="Times New Roman" w:hAnsi="Arial"/>
      <w:b/>
      <w:bCs/>
      <w:sz w:val="16"/>
      <w:szCs w:val="16"/>
    </w:rPr>
  </w:style>
  <w:style w:type="paragraph" w:styleId="Footer">
    <w:name w:val="Footer"/>
    <w:basedOn w:val="Normal"/>
    <w:link w:val="НижнийколонтитулЗнак"/>
    <w:uiPriority w:val="99"/>
    <w:pPr>
      <w:tabs>
        <w:tab w:val="center" w:pos="4153"/>
        <w:tab w:val="right" w:pos="8306"/>
      </w:tabs>
    </w:pPr>
  </w:style>
  <w:style w:type="character" w:customStyle="1" w:styleId="НижнийколонтитулЗнак">
    <w:name w:val="Нижний колонтитул Знак"/>
    <w:link w:val="Footer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customStyle="1" w:styleId="Заголовок0">
    <w:name w:val="Заголовок 0"/>
    <w:basedOn w:val="Heading1"/>
    <w:uiPriority w:val="99"/>
    <w:rPr>
      <w:caps/>
      <w:sz w:val="24"/>
      <w:szCs w:val="24"/>
    </w:rPr>
  </w:style>
  <w:style w:type="paragraph" w:styleId="Header">
    <w:name w:val="Header"/>
    <w:basedOn w:val="Normal"/>
    <w:link w:val="ВерхнийколонтитулЗнак"/>
    <w:uiPriority w:val="99"/>
    <w:pPr>
      <w:tabs>
        <w:tab w:val="center" w:pos="4320"/>
        <w:tab w:val="right" w:pos="8640"/>
      </w:tabs>
    </w:pPr>
  </w:style>
  <w:style w:type="character" w:customStyle="1" w:styleId="ВерхнийколонтитулЗнак">
    <w:name w:val="Верхний колонтитул Знак"/>
    <w:link w:val="Header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customStyle="1" w:styleId="Iau?iue2">
    <w:name w:val="Iau?iue2"/>
    <w:uiPriority w:val="99"/>
    <w:pPr>
      <w:widowControl w:val="off"/>
    </w:pPr>
    <w:rPr>
      <w:rFonts w:ascii="Times New Roman" w:eastAsia="Times New Roman" w:hAnsi="Times New Roman"/>
      <w:lang w:val="en-US"/>
    </w:rPr>
  </w:style>
  <w:style w:type="paragraph" w:customStyle="1" w:styleId="Ñòèëü">
    <w:name w:val="Ñòèëü"/>
    <w:uiPriority w:val="99"/>
    <w:pPr>
      <w:widowControl w:val="off"/>
    </w:pPr>
    <w:rPr>
      <w:rFonts w:ascii="Times New Roman" w:eastAsia="Times New Roman" w:hAnsi="Times New Roman"/>
      <w:spacing w:val="-1"/>
      <w:position w:val="-1"/>
      <w:sz w:val="24"/>
      <w:szCs w:val="24"/>
      <w:lang w:val="en-US"/>
    </w:rPr>
  </w:style>
  <w:style w:type="paragraph" w:customStyle="1" w:styleId="Îáû÷íûé">
    <w:name w:val="Îáû÷íûé"/>
    <w:uiPriority w:val="99"/>
    <w:pPr>
      <w:widowControl w:val="off"/>
    </w:pPr>
    <w:rPr>
      <w:rFonts w:ascii="Times New Roman" w:eastAsia="Times New Roman" w:hAnsi="Times New Roman"/>
      <w:sz w:val="28"/>
      <w:szCs w:val="28"/>
    </w:rPr>
  </w:style>
  <w:style w:type="paragraph" w:customStyle="1" w:styleId="Iau?iue">
    <w:name w:val="Iau?iue"/>
    <w:uiPriority w:val="99"/>
    <w:pPr>
      <w:widowControl w:val="off"/>
    </w:pPr>
    <w:rPr>
      <w:rFonts w:ascii="Times New Roman" w:eastAsia="Times New Roman" w:hAnsi="Times New Roman"/>
    </w:rPr>
  </w:style>
  <w:style w:type="paragraph" w:customStyle="1" w:styleId="Îñíîâíîéòåêñò2">
    <w:name w:val="Îñíîâíîé òåêñò 2"/>
    <w:basedOn w:val="Îáû÷íûé"/>
    <w:uiPriority w:val="99"/>
    <w:pPr>
      <w:ind w:firstLine="720"/>
      <w:jc w:val="both"/>
    </w:pPr>
    <w:rPr>
      <w:b/>
      <w:bCs/>
      <w:color w:val="000000"/>
      <w:sz w:val="24"/>
      <w:szCs w:val="24"/>
      <w:lang w:val="en-US"/>
    </w:rPr>
  </w:style>
  <w:style w:type="paragraph" w:customStyle="1" w:styleId="Îñíîâíîéòåêñòñîòñòóïîì2">
    <w:name w:val="Îñíîâíîé òåêñò ñ îòñòóïîì 2"/>
    <w:basedOn w:val="Îáû÷íûé"/>
    <w:uiPriority w:val="99"/>
    <w:pPr>
      <w:ind w:left="720"/>
      <w:jc w:val="both"/>
    </w:pPr>
    <w:rPr>
      <w:color w:val="000000"/>
      <w:sz w:val="24"/>
      <w:szCs w:val="24"/>
      <w:lang w:val="en-US"/>
    </w:rPr>
  </w:style>
  <w:style w:type="paragraph" w:customStyle="1" w:styleId="çàãîëîâîê1">
    <w:name w:val="çàãîëîâîê 1"/>
    <w:basedOn w:val="Îáû÷íûé"/>
    <w:next w:val="Îáû÷íûé"/>
    <w:uiPriority w:val="99"/>
    <w:pPr>
      <w:keepNext w:val="on"/>
    </w:pPr>
  </w:style>
  <w:style w:type="paragraph" w:customStyle="1" w:styleId="Îñíîâíîéòåêñòñîòñòóïîì3">
    <w:name w:val="Îñíîâíîé òåêñò ñ îòñòóïîì 3"/>
    <w:basedOn w:val="Îáû÷íûé"/>
    <w:uiPriority w:val="99"/>
    <w:pPr>
      <w:ind w:firstLine="567"/>
      <w:jc w:val="both"/>
    </w:pPr>
    <w:rPr>
      <w:rFonts w:ascii="Peterburg" w:cs="Peterburg" w:hAnsi="Peterburg"/>
      <w:b/>
      <w:bCs/>
      <w:i/>
      <w:iCs/>
      <w:sz w:val="24"/>
      <w:szCs w:val="24"/>
    </w:rPr>
  </w:style>
  <w:style w:type="paragraph" w:customStyle="1" w:styleId="Iniiaiieoaeno">
    <w:name w:val="Iniiaiie oaeno"/>
    <w:basedOn w:val="Iau?iue"/>
    <w:uiPriority w:val="99"/>
    <w:pPr>
      <w:widowControl w:val="on"/>
      <w:jc w:val="both"/>
    </w:pPr>
    <w:rPr>
      <w:rFonts w:ascii="Peterburg" w:cs="Peterburg" w:hAnsi="Peterburg"/>
    </w:rPr>
  </w:style>
  <w:style w:type="paragraph" w:customStyle="1" w:styleId="Iniiaiieoaenonionooiii2">
    <w:name w:val="Iniiaiie oaeno n ionooiii 2"/>
    <w:basedOn w:val="Iau?iue"/>
    <w:uiPriority w:val="99"/>
    <w:pPr>
      <w:widowControl w:val="on"/>
      <w:ind w:firstLine="284"/>
      <w:jc w:val="both"/>
    </w:pPr>
    <w:rPr>
      <w:rFonts w:ascii="Peterburg" w:cs="Peterburg" w:hAnsi="Peterburg"/>
    </w:rPr>
  </w:style>
  <w:style w:type="paragraph" w:customStyle="1" w:styleId="основной">
    <w:name w:val="основной"/>
    <w:basedOn w:val="Normal"/>
    <w:uiPriority w:val="99"/>
    <w:pPr>
      <w:keepNext w:val="on"/>
      <w:ind w:firstLine="0"/>
      <w:jc w:val="left"/>
    </w:pPr>
  </w:style>
  <w:style w:type="paragraph" w:customStyle="1" w:styleId="Nienie">
    <w:name w:val="Nienie"/>
    <w:basedOn w:val="Iau?iue"/>
    <w:uiPriority w:val="99"/>
    <w:pPr>
      <w:keepLines w:val="on"/>
      <w:ind w:left="709" w:hanging="284"/>
      <w:jc w:val="both"/>
    </w:pPr>
    <w:rPr>
      <w:rFonts w:ascii="Peterburg" w:cs="Peterburg" w:hAnsi="Peterburg"/>
      <w:sz w:val="24"/>
      <w:szCs w:val="24"/>
    </w:rPr>
  </w:style>
  <w:style w:type="paragraph" w:customStyle="1" w:styleId="Iniiaiieoaeno2">
    <w:name w:val="Iniiaiie oaeno 2"/>
    <w:basedOn w:val="Normal"/>
    <w:uiPriority w:val="99"/>
    <w:pPr>
      <w:widowControl w:val="off"/>
      <w:ind w:firstLine="567"/>
    </w:pPr>
    <w:rPr>
      <w:b/>
      <w:bCs/>
      <w:color w:val="000000"/>
    </w:rPr>
  </w:style>
  <w:style w:type="paragraph" w:customStyle="1" w:styleId="Îñíîâíîéòåêñò">
    <w:name w:val="Îñíîâíîé òåêñò"/>
    <w:basedOn w:val="Îáû÷íûé"/>
    <w:uiPriority w:val="99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customStyle="1" w:styleId="Caaieiaie2">
    <w:name w:val="Caaieiaie 2"/>
    <w:basedOn w:val="Iau?iue"/>
    <w:next w:val="Iau?iue"/>
    <w:uiPriority w:val="99"/>
    <w:pPr>
      <w:keepNext w:val="on"/>
      <w:keepLines w:val="on"/>
      <w:spacing w:before="240" w:after="60"/>
      <w:jc w:val="center"/>
    </w:pPr>
    <w:rPr>
      <w:rFonts w:ascii="Peterburg" w:cs="Peterburg" w:hAnsi="Peterburg"/>
      <w:b/>
      <w:bCs/>
      <w:sz w:val="24"/>
      <w:szCs w:val="24"/>
    </w:rPr>
  </w:style>
  <w:style w:type="paragraph" w:styleId="PlainText">
    <w:name w:val="Plain Text"/>
    <w:basedOn w:val="Normal"/>
    <w:link w:val="ТекстЗнак"/>
    <w:uiPriority w:val="99"/>
    <w:pPr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ТекстЗнак">
    <w:name w:val="Текст Знак"/>
    <w:link w:val="PlainText"/>
    <w:uiPriority w:val="99"/>
    <w:rPr>
      <w:rFonts w:ascii="Courier New" w:cs="Courier New" w:eastAsia="Times New Roman" w:hAnsi="Courier New"/>
      <w:sz w:val="20"/>
      <w:szCs w:val="20"/>
      <w:lang w:eastAsia="ru-RU"/>
    </w:rPr>
  </w:style>
  <w:style w:type="paragraph" w:customStyle="1" w:styleId="ConsNonformat">
    <w:name w:val="ConsNonformat"/>
    <w:uiPriority w:val="99"/>
    <w:pPr>
      <w:widowControl w:val="off"/>
    </w:pPr>
    <w:rPr>
      <w:rFonts w:ascii="Courier New" w:cs="Courier New" w:eastAsia="Times New Roman" w:hAnsi="Courier New"/>
    </w:rPr>
  </w:style>
  <w:style w:type="paragraph" w:customStyle="1" w:styleId="FR2">
    <w:name w:val="FR2"/>
    <w:uiPriority w:val="99"/>
    <w:pPr>
      <w:widowControl w:val="off"/>
      <w:spacing w:line="260" w:lineRule="auto"/>
      <w:ind w:firstLine="160"/>
      <w:jc w:val="both"/>
    </w:pPr>
    <w:rPr>
      <w:rFonts w:ascii="Times New Roman" w:eastAsia="Times New Roman" w:hAnsi="Times New Roman"/>
      <w:sz w:val="18"/>
      <w:szCs w:val="18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rPr>
      <w:rFonts w:ascii="Tahoma" w:hAnsi="Tahoma"/>
      <w:sz w:val="16"/>
      <w:szCs w:val="16"/>
    </w:rPr>
  </w:style>
  <w:style w:type="character" w:customStyle="1" w:styleId="ТекствыноскиЗнак">
    <w:name w:val="Текст выноски Знак"/>
    <w:link w:val="BalloonText"/>
    <w:uiPriority w:val="99"/>
    <w:semiHidden w:val="on"/>
    <w:rPr>
      <w:rFonts w:ascii="Tahoma" w:cs="Tahoma" w:eastAsia="Times New Roman" w:hAnsi="Tahoma"/>
      <w:sz w:val="16"/>
      <w:szCs w:val="16"/>
    </w:rPr>
  </w:style>
  <w:style w:type="paragraph" w:styleId="Normal(Web)">
    <w:name w:val="Normal (Web)"/>
    <w:basedOn w:val="Normal"/>
    <w:uiPriority w:val="99"/>
    <w:pPr>
      <w:spacing w:before="100" w:after="100"/>
      <w:ind w:firstLine="0"/>
      <w:jc w:val="left"/>
    </w:pPr>
  </w:style>
  <w:style w:type="character" w:styleId="Hyperlink">
    <w:name w:val="Hyperlink"/>
    <w:uiPriority w:val="99"/>
    <w:unhideWhenUsed w:val="on"/>
    <w:rPr>
      <w:color w:val="0000ff"/>
      <w:u w:val="single"/>
    </w:rPr>
  </w:style>
  <w:style w:type="character" w:styleId="FollowedHyperlink">
    <w:name w:val="FollowedHyperlink"/>
    <w:uiPriority w:val="99"/>
    <w:semiHidden w:val="on"/>
    <w:unhideWhenUsed w:val="on"/>
    <w:rPr>
      <w:color w:val="800080"/>
      <w:u w:val="single"/>
    </w:rPr>
  </w:style>
  <w:style w:type="paragraph" w:styleId="TOCHeading">
    <w:name w:val="TOC Heading"/>
    <w:basedOn w:val="Heading1"/>
    <w:next w:val="Normal"/>
    <w:uiPriority w:val="39"/>
    <w:unhideWhenUsed w:val="on"/>
    <w:qFormat w:val="on"/>
    <w:pPr>
      <w:keepLines w:val="on"/>
      <w:spacing w:before="240" w:line="259" w:lineRule="auto"/>
      <w:jc w:val="left"/>
    </w:pPr>
    <w:rPr>
      <w:rFonts w:ascii="Calibri Light" w:hAnsi="Calibri Light"/>
      <w:color w:val="2e74b5"/>
      <w:sz w:val="32"/>
      <w:szCs w:val="32"/>
    </w:rPr>
  </w:style>
  <w:style w:type="paragraph" w:styleId="Toc1">
    <w:name w:val="Toc 1"/>
    <w:basedOn w:val="Normal"/>
    <w:next w:val="Normal"/>
    <w:uiPriority w:val="39"/>
    <w:unhideWhenUsed w:val="on"/>
    <w:pPr>
      <w:tabs>
        <w:tab w:val="right" w:leader="dot" w:pos="9781"/>
      </w:tabs>
      <w:ind w:firstLine="0"/>
    </w:pPr>
    <w:rPr>
      <w:sz w:val="22"/>
      <w:szCs w:val="2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pPr>
      <w:spacing w:after="60"/>
      <w:jc w:val="center"/>
    </w:pPr>
    <w:rPr>
      <w:rFonts w:ascii="Calibri Light" w:hAnsi="Calibri Light"/>
    </w:rPr>
  </w:style>
  <w:style w:type="character" w:customStyle="1" w:styleId="ПодзаголовокЗнак">
    <w:name w:val="Подзаголовок Знак"/>
    <w:link w:val="Subtitle"/>
    <w:uiPriority w:val="11"/>
    <w:rPr>
      <w:rFonts w:ascii="Calibri Light" w:cs="Times New Roman" w:eastAsia="Times New Roman" w:hAnsi="Calibri Light"/>
      <w:sz w:val="24"/>
      <w:szCs w:val="24"/>
    </w:rPr>
  </w:style>
  <w:style w:type="paragraph" w:styleId="Toc2">
    <w:name w:val="Toc 2"/>
    <w:basedOn w:val="Normal"/>
    <w:next w:val="Normal"/>
    <w:uiPriority w:val="39"/>
    <w:unhideWhenUsed w:val="on"/>
    <w:pPr>
      <w:tabs>
        <w:tab w:val="right" w:leader="dot" w:pos="9781"/>
      </w:tabs>
      <w:ind w:firstLine="567"/>
    </w:p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spacing w:before="240" w:after="60"/>
      <w:jc w:val="center"/>
    </w:pPr>
    <w:rPr>
      <w:rFonts w:ascii="Calibri Light" w:hAnsi="Calibri Light"/>
      <w:b/>
      <w:bCs/>
      <w:sz w:val="32"/>
      <w:szCs w:val="32"/>
    </w:rPr>
  </w:style>
  <w:style w:type="character" w:customStyle="1" w:styleId="НазваниеЗнак">
    <w:name w:val="Название Знак"/>
    <w:link w:val="Title"/>
    <w:uiPriority w:val="10"/>
    <w:rPr>
      <w:rFonts w:ascii="Calibri Light" w:cs="Times New Roman" w:eastAsia="Times New Roman" w:hAnsi="Calibri Light"/>
      <w:b/>
      <w:bCs/>
      <w:sz w:val="32"/>
      <w:szCs w:val="32"/>
    </w:rPr>
  </w:style>
  <w:style w:type="character" w:customStyle="1" w:styleId="Гипертекстоваяссылка">
    <w:name w:val="Гипертекстовая ссылка"/>
    <w:uiPriority w:val="99"/>
    <w:rPr>
      <w:color w:val="106bbe"/>
    </w:rPr>
  </w:style>
  <w:style w:type="paragraph" w:styleId="ListParagraph">
    <w:name w:val="List Paragraph"/>
    <w:basedOn w:val="Normal"/>
    <w:uiPriority w:val="34"/>
    <w:qFormat w:val="on"/>
    <w:pPr>
      <w:spacing w:after="200" w:line="276" w:lineRule="auto"/>
      <w:ind w:left="720" w:firstLine="0"/>
      <w:contextualSpacing w:val="on"/>
      <w:jc w:val="left"/>
    </w:pPr>
    <w:rPr>
      <w:rFonts w:ascii="Calibri" w:hAnsi="Calibri"/>
      <w:sz w:val="22"/>
      <w:szCs w:val="22"/>
    </w:rPr>
  </w:style>
  <w:style w:type="paragraph" w:customStyle="1" w:styleId="З1">
    <w:name w:val="З1"/>
    <w:basedOn w:val="Normal"/>
    <w:next w:val="Normal"/>
    <w:uiPriority w:val="99"/>
    <w:pPr>
      <w:spacing w:line="360" w:lineRule="auto"/>
      <w:ind w:firstLine="748"/>
    </w:pPr>
    <w:rPr>
      <w:b/>
    </w:rPr>
  </w:style>
  <w:style w:type="character" w:customStyle="1" w:styleId="Цветовоевыделение">
    <w:name w:val="Цветовое выделение"/>
    <w:uiPriority w:val="99"/>
    <w:rPr>
      <w:b/>
      <w:bCs/>
      <w:color w:val="26282f"/>
    </w:rPr>
  </w:style>
  <w:style w:type="paragraph" w:customStyle="1" w:styleId="Стиль1Знак">
    <w:name w:val="Стиль1 Знак"/>
    <w:basedOn w:val="Heading3"/>
    <w:uiPriority w:val="99"/>
    <w:pPr>
      <w:keepLines w:val="on"/>
      <w:spacing w:before="60" w:after="120"/>
    </w:pPr>
    <w:rPr>
      <w:rFonts w:ascii="Arial" w:cs="Arial" w:hAnsi="Arial"/>
      <w:sz w:val="22"/>
      <w:szCs w:val="22"/>
    </w:rPr>
  </w:style>
  <w:style w:type="paragraph" w:customStyle="1" w:styleId="Стиль1">
    <w:name w:val="Стиль1"/>
    <w:basedOn w:val="Heading3"/>
    <w:uiPriority w:val="99"/>
    <w:pPr>
      <w:keepLines w:val="on"/>
      <w:spacing w:before="60" w:after="120"/>
    </w:pPr>
    <w:rPr>
      <w:rFonts w:ascii="Arial" w:cs="Arial" w:hAnsi="Arial"/>
      <w:sz w:val="22"/>
      <w:szCs w:val="22"/>
    </w:rPr>
  </w:style>
  <w:style w:type="paragraph" w:customStyle="1" w:styleId="Обычный(Web)">
    <w:name w:val="Обычный (Web)"/>
    <w:basedOn w:val="Normal"/>
    <w:uiPriority w:val="99"/>
    <w:pPr>
      <w:spacing w:before="100" w:after="100"/>
      <w:ind w:firstLine="0"/>
      <w:jc w:val="left"/>
    </w:pPr>
    <w:rPr>
      <w:szCs w:val="20"/>
    </w:rPr>
  </w:style>
  <w:style w:type="paragraph" w:customStyle="1" w:styleId="ConsPlusNormal1">
    <w:name w:val="ConsPlusNormal1"/>
    <w:uiPriority w:val="99"/>
    <w:pPr>
      <w:widowControl w:val="off"/>
      <w:ind w:firstLine="720"/>
    </w:pPr>
    <w:rPr>
      <w:rFonts w:ascii="Arial" w:cs="Arial" w:eastAsia="Times New Roman" w:hAnsi="Arial"/>
    </w:rPr>
  </w:style>
  <w:style w:type="paragraph" w:customStyle="1" w:styleId="Bcs">
    <w:name w:val="Bcs"/>
    <w:basedOn w:val="Normal"/>
    <w:uiPriority w:val="99"/>
    <w:pPr>
      <w:shd w:val="clear" w:color="auto" w:fill="e7f3ff"/>
      <w:spacing w:before="20" w:after="100"/>
      <w:ind w:firstLine="120"/>
      <w:jc w:val="left"/>
    </w:pPr>
    <w:rPr>
      <w:rFonts w:ascii="Arial" w:cs="Arial" w:hAnsi="Arial"/>
    </w:rPr>
  </w:style>
  <w:style w:type="paragraph" w:customStyle="1" w:styleId="ConsPlusNonformat">
    <w:name w:val="ConsPlusNonformat"/>
    <w:uiPriority w:val="99"/>
    <w:pPr>
      <w:widowControl w:val="off"/>
    </w:pPr>
    <w:rPr>
      <w:rFonts w:ascii="Courier New" w:cs="Courier New" w:eastAsia="Times New Roman" w:hAnsi="Courier New"/>
    </w:rPr>
  </w:style>
  <w:style w:type="character" w:customStyle="1" w:styleId="Grame">
    <w:name w:val="Grame"/>
    <w:uiPriority w:val="99"/>
  </w:style>
  <w:style w:type="character" w:customStyle="1" w:styleId="ОсновнойтекстЗнак1">
    <w:name w:val="Основной текст Знак1"/>
    <w:uiPriority w:val="99"/>
    <w:rPr>
      <w:rFonts w:ascii="Times New Roman" w:cs="Times New Roman" w:hAnsi="Times New Roman"/>
      <w:sz w:val="22"/>
      <w:szCs w:val="22"/>
      <w:u w:val="none"/>
    </w:rPr>
  </w:style>
  <w:style w:type="character" w:customStyle="1" w:styleId="Основнойтекст(3)_">
    <w:name w:val="Основной текст (3)_"/>
    <w:link w:val="Основнойтекст(3)"/>
    <w:uiPriority w:val="99"/>
    <w:rPr>
      <w:rFonts w:ascii="Arial" w:cs="Arial" w:hAnsi="Arial"/>
      <w:b/>
      <w:bCs/>
      <w:sz w:val="30"/>
      <w:szCs w:val="30"/>
      <w:shd w:val="clear" w:color="auto" w:fill="ffffff"/>
    </w:rPr>
  </w:style>
  <w:style w:type="paragraph" w:customStyle="1" w:styleId="Основнойтекст(3)">
    <w:name w:val="Основной текст (3)"/>
    <w:basedOn w:val="Normal"/>
    <w:link w:val="Основнойтекст(3)_"/>
    <w:uiPriority w:val="99"/>
    <w:pPr>
      <w:widowControl w:val="off"/>
      <w:shd w:val="clear" w:color="auto" w:fill="ffffff"/>
      <w:spacing w:before="840" w:after="2100" w:line="240" w:lineRule="atLeast"/>
      <w:ind w:firstLine="0"/>
    </w:pPr>
    <w:rPr>
      <w:rFonts w:ascii="Arial" w:eastAsia="Calibri" w:hAnsi="Arial"/>
      <w:b/>
      <w:bCs/>
      <w:sz w:val="30"/>
      <w:szCs w:val="30"/>
    </w:rPr>
  </w:style>
  <w:style w:type="character" w:customStyle="1" w:styleId="Основнойтекст(3)+19pt">
    <w:name w:val="Основной текст (3) + 19 pt"/>
    <w:uiPriority w:val="99"/>
    <w:rPr>
      <w:rFonts w:ascii="Arial" w:cs="Arial" w:hAnsi="Arial"/>
      <w:b/>
      <w:bCs/>
      <w:sz w:val="38"/>
      <w:szCs w:val="38"/>
      <w:shd w:val="clear" w:color="auto" w:fill="ffffff"/>
    </w:rPr>
  </w:style>
  <w:style w:type="character" w:customStyle="1" w:styleId="Заголовок№1_">
    <w:name w:val="Заголовок №1_"/>
    <w:link w:val="Заголовок№1"/>
    <w:uiPriority w:val="99"/>
    <w:rPr>
      <w:rFonts w:ascii="Arial" w:cs="Arial" w:hAnsi="Arial"/>
      <w:b/>
      <w:bCs/>
      <w:sz w:val="38"/>
      <w:szCs w:val="38"/>
      <w:shd w:val="clear" w:color="auto" w:fill="ffffff"/>
    </w:rPr>
  </w:style>
  <w:style w:type="paragraph" w:customStyle="1" w:styleId="Заголовок№1">
    <w:name w:val="Заголовок №1"/>
    <w:basedOn w:val="Normal"/>
    <w:link w:val="Заголовок№1_"/>
    <w:uiPriority w:val="99"/>
    <w:pPr>
      <w:widowControl w:val="off"/>
      <w:shd w:val="clear" w:color="auto" w:fill="ffffff"/>
      <w:spacing w:before="2100" w:after="900" w:line="240" w:lineRule="atLeast"/>
      <w:ind w:firstLine="0"/>
      <w:jc w:val="center"/>
    </w:pPr>
    <w:rPr>
      <w:rFonts w:ascii="Arial" w:eastAsia="Calibri" w:hAnsi="Arial"/>
      <w:b/>
      <w:bCs/>
      <w:sz w:val="38"/>
      <w:szCs w:val="38"/>
    </w:rPr>
  </w:style>
  <w:style w:type="character" w:customStyle="1" w:styleId="Заголовок№2_">
    <w:name w:val="Заголовок №2_"/>
    <w:link w:val="Заголовок№2"/>
    <w:uiPriority w:val="99"/>
    <w:rPr>
      <w:rFonts w:ascii="Arial" w:cs="Arial" w:hAnsi="Arial"/>
      <w:b/>
      <w:bCs/>
      <w:sz w:val="30"/>
      <w:szCs w:val="30"/>
      <w:shd w:val="clear" w:color="auto" w:fill="ffffff"/>
    </w:rPr>
  </w:style>
  <w:style w:type="paragraph" w:customStyle="1" w:styleId="Заголовок№2">
    <w:name w:val="Заголовок №2"/>
    <w:basedOn w:val="Normal"/>
    <w:link w:val="Заголовок№2_"/>
    <w:uiPriority w:val="99"/>
    <w:pPr>
      <w:widowControl w:val="off"/>
      <w:shd w:val="clear" w:color="auto" w:fill="ffffff"/>
      <w:spacing w:before="900" w:after="660" w:line="811" w:lineRule="exact"/>
      <w:ind w:firstLine="0"/>
      <w:jc w:val="center"/>
    </w:pPr>
    <w:rPr>
      <w:rFonts w:ascii="Arial" w:eastAsia="Calibri" w:hAnsi="Arial"/>
      <w:b/>
      <w:bCs/>
      <w:sz w:val="30"/>
      <w:szCs w:val="30"/>
    </w:rPr>
  </w:style>
  <w:style w:type="character" w:customStyle="1" w:styleId="Заголовок№2+19pt">
    <w:name w:val="Заголовок №2 + 19 pt"/>
    <w:uiPriority w:val="99"/>
    <w:rPr>
      <w:rFonts w:ascii="Arial" w:cs="Arial" w:hAnsi="Arial"/>
      <w:b/>
      <w:bCs/>
      <w:sz w:val="38"/>
      <w:szCs w:val="38"/>
      <w:shd w:val="clear" w:color="auto" w:fill="ffffff"/>
    </w:rPr>
  </w:style>
  <w:style w:type="character" w:customStyle="1" w:styleId="Apple-converted-space">
    <w:name w:val="Apple-converted-space"/>
    <w:uiPriority w:val="99"/>
  </w:style>
  <w:style w:type="paragraph" w:customStyle="1" w:styleId="S_1">
    <w:name w:val="S_1"/>
    <w:basedOn w:val="Normal"/>
    <w:uiPriority w:val="99"/>
    <w:pPr>
      <w:spacing w:before="100" w:after="100"/>
      <w:ind w:firstLine="0"/>
      <w:jc w:val="left"/>
    </w:pPr>
  </w:style>
  <w:style w:type="paragraph" w:customStyle="1" w:styleId="S_22">
    <w:name w:val="S_22"/>
    <w:basedOn w:val="Normal"/>
    <w:uiPriority w:val="99"/>
    <w:pPr>
      <w:spacing w:before="100" w:after="100"/>
      <w:ind w:firstLine="0"/>
      <w:jc w:val="left"/>
    </w:pPr>
  </w:style>
  <w:style w:type="paragraph" w:styleId="Toc3">
    <w:name w:val="Toc 3"/>
    <w:basedOn w:val="Normal"/>
    <w:next w:val="Normal"/>
    <w:uiPriority w:val="39"/>
    <w:unhideWhenUsed w:val="on"/>
    <w:pPr>
      <w:tabs>
        <w:tab w:val="right" w:leader="dot" w:pos="9781"/>
      </w:tabs>
      <w:spacing w:after="100" w:line="276" w:lineRule="auto"/>
      <w:ind w:firstLine="0"/>
    </w:pPr>
    <w:rPr>
      <w:rFonts w:ascii="Calibri" w:hAnsi="Calibri"/>
      <w:sz w:val="22"/>
      <w:szCs w:val="22"/>
    </w:rPr>
  </w:style>
  <w:style w:type="character" w:styleId="Strong">
    <w:name w:val="Strong"/>
    <w:uiPriority w:val="22"/>
    <w:qFormat w:val="on"/>
    <w:rPr>
      <w:b/>
      <w:bCs/>
    </w:rPr>
  </w:style>
  <w:style w:type="character" w:customStyle="1" w:styleId="W">
    <w:name w:val="W"/>
    <w:uiPriority w:val="99"/>
  </w:style>
  <w:style w:type="paragraph" w:customStyle="1" w:styleId="Нормальный(таблица)">
    <w:name w:val="Нормальный (таблица)"/>
    <w:basedOn w:val="Normal"/>
    <w:next w:val="Normal"/>
    <w:uiPriority w:val="99"/>
    <w:pPr>
      <w:widowControl w:val="off"/>
      <w:ind w:firstLine="0"/>
    </w:pPr>
  </w:style>
  <w:style w:type="paragraph" w:customStyle="1" w:styleId="Центрированный(таблица)">
    <w:name w:val="Центрированный (таблица)"/>
    <w:basedOn w:val="Нормальный(таблица)"/>
    <w:next w:val="Normal"/>
    <w:uiPriority w:val="99"/>
    <w:pPr>
      <w:jc w:val="center"/>
    </w:pPr>
  </w:style>
  <w:style w:type="paragraph" w:customStyle="1" w:styleId="Formattext">
    <w:name w:val="Formattext"/>
    <w:basedOn w:val="Normal"/>
    <w:uiPriority w:val="99"/>
    <w:pPr>
      <w:spacing w:before="100" w:after="100"/>
      <w:ind w:firstLine="0"/>
      <w:jc w:val="left"/>
    </w:pPr>
  </w:style>
  <w:style w:type="table" w:styleId="TableGrid">
    <w:name w:val="Table Grid"/>
    <w:basedOn w:val="NormalTable"/>
    <w:uiPriority w:val="59"/>
    <w:rPr>
      <w:sz w:val="22"/>
      <w:szCs w:val="22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Отступперед">
    <w:name w:val="Отступ перед"/>
    <w:basedOn w:val="Normal"/>
    <w:uiPriority w:val="99"/>
    <w:pPr>
      <w:widowControl w:val="off"/>
      <w:shd w:val="clear" w:color="auto" w:fill="ffffff"/>
      <w:spacing w:before="120"/>
      <w:ind w:firstLine="284"/>
    </w:pPr>
    <w:rPr>
      <w:szCs w:val="22"/>
    </w:rPr>
  </w:style>
  <w:style w:type="paragraph" w:styleId="NoSpacing">
    <w:name w:val="No Spacing"/>
    <w:uiPriority w:val="99"/>
    <w:qFormat w:val="on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Сеткатаблицы1">
    <w:name w:val="Сетка таблицы1"/>
    <w:basedOn w:val="NormalTable"/>
    <w:uiPriority w:val="59"/>
    <w:rPr>
      <w:sz w:val="22"/>
      <w:szCs w:val="22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uiPriority w:val="21"/>
    <w:qFormat w:val="on"/>
    <w:rPr>
      <w:i/>
      <w:iCs/>
      <w:color w:val="5b9bd5"/>
    </w:rPr>
  </w:style>
  <w:style w:type="character" w:styleId="Emphasis">
    <w:name w:val="Emphasis"/>
    <w:uiPriority w:val="20"/>
    <w:qFormat w:val="on"/>
    <w:rPr>
      <w:i/>
      <w:iCs/>
    </w:rPr>
  </w:style>
  <w:style w:type="character" w:styleId="BookTitle">
    <w:name w:val="Book Title"/>
    <w:uiPriority w:val="33"/>
    <w:qFormat w:val="on"/>
    <w:rPr>
      <w:b/>
      <w:bCs/>
      <w:i/>
      <w:iCs/>
      <w:spacing w:val="5"/>
    </w:rPr>
  </w:style>
  <w:style w:type="paragraph" w:customStyle="1" w:styleId="ConsPlusNormal">
    <w:name w:val="ConsPlusNormal"/>
    <w:uiPriority w:val="99"/>
    <w:pPr>
      <w:widowControl w:val="off"/>
    </w:pPr>
    <w:rPr>
      <w:rFonts w:ascii="Arial" w:cs="Arial" w:eastAsia="Arial" w:hAnsi="Arial"/>
      <w:sz w:val="16"/>
      <w:szCs w:val="16"/>
      <w:lang w:bidi="hi-IN" w:eastAsia="hi-IN"/>
    </w:rPr>
  </w:style>
  <w:style w:type="character" w:customStyle="1" w:styleId="ТекстпримечанияЗнак">
    <w:name w:val="Текст примечания Знак"/>
    <w:basedOn w:val="DefaultParagraphFont"/>
    <w:link w:val="Annotationtext"/>
    <w:uiPriority w:val="99"/>
    <w:semiHidden w:val="on"/>
    <w:rPr>
      <w:rFonts w:ascii="Times New Roman" w:eastAsia="Times New Roman" w:hAnsi="Times New Roman"/>
    </w:rPr>
  </w:style>
  <w:style w:type="paragraph" w:styleId="Annotationtext">
    <w:name w:val="Annotation text"/>
    <w:basedOn w:val="Normal"/>
    <w:link w:val="ТекстпримечанияЗнак"/>
    <w:uiPriority w:val="99"/>
    <w:semiHidden w:val="on"/>
    <w:unhideWhenUsed w:val="on"/>
    <w:rPr>
      <w:sz w:val="20"/>
      <w:szCs w:val="20"/>
    </w:rPr>
  </w:style>
  <w:style w:type="character" w:customStyle="1" w:styleId="ТемапримечанияЗнак">
    <w:name w:val="Тема примечания Знак"/>
    <w:basedOn w:val="ТекстпримечанияЗнак"/>
    <w:link w:val="Annotationsubject"/>
    <w:uiPriority w:val="99"/>
    <w:semiHidden w:val="on"/>
    <w:rPr>
      <w:rFonts w:ascii="Times New Roman" w:eastAsia="Times New Roman" w:hAnsi="Times New Roman"/>
      <w:b/>
      <w:bCs/>
    </w:rPr>
  </w:style>
  <w:style w:type="paragraph" w:styleId="Annotationsubject">
    <w:name w:val="Annotation subject"/>
    <w:basedOn w:val="Annotationtext"/>
    <w:next w:val="Annotationtext"/>
    <w:link w:val="ТемапримечанияЗнак"/>
    <w:uiPriority w:val="99"/>
    <w:semiHidden w:val="on"/>
    <w:unhideWhenUsed w:val="on"/>
    <w:rPr>
      <w:b/>
      <w:bCs/>
    </w:rPr>
  </w:style>
  <w:style w:type="character" w:customStyle="1" w:styleId="Blk">
    <w:name w:val="Blk"/>
    <w:uiPriority w:val="99"/>
  </w:style>
  <w:style w:type="character" w:customStyle="1" w:styleId="Fontstyle01">
    <w:name w:val="Fontstyle01"/>
    <w:basedOn w:val="DefaultParagraphFont"/>
    <w:uiPriority w:val="99"/>
    <w:rPr>
      <w:rFonts w:ascii="ArialMT" w:hAnsi="ArialMT" w:hint="default"/>
      <w:b w:val="off"/>
      <w:bCs w:val="off"/>
      <w:i w:val="off"/>
      <w:iCs w:val="off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A4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E33A4"/>
    <w:pPr>
      <w:keepNext/>
      <w:ind w:firstLine="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F7F69"/>
    <w:pPr>
      <w:keepNext/>
      <w:ind w:firstLine="0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autoRedefine/>
    <w:uiPriority w:val="9"/>
    <w:qFormat/>
    <w:rsid w:val="00900138"/>
    <w:pPr>
      <w:keepNext/>
      <w:spacing w:before="240"/>
      <w:ind w:firstLine="851"/>
      <w:outlineLvl w:val="2"/>
    </w:pPr>
    <w:rPr>
      <w:b/>
      <w:bCs/>
    </w:rPr>
  </w:style>
  <w:style w:type="paragraph" w:styleId="4">
    <w:name w:val="heading 4"/>
    <w:basedOn w:val="a"/>
    <w:next w:val="a"/>
    <w:link w:val="40"/>
    <w:unhideWhenUsed/>
    <w:qFormat/>
    <w:rsid w:val="0064425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FE33A4"/>
    <w:pPr>
      <w:keepNext/>
      <w:widowControl w:val="0"/>
      <w:spacing w:before="80" w:after="80"/>
      <w:outlineLvl w:val="4"/>
    </w:pPr>
    <w:rPr>
      <w:b/>
      <w:bCs/>
      <w:sz w:val="36"/>
      <w:szCs w:val="36"/>
    </w:rPr>
  </w:style>
  <w:style w:type="paragraph" w:styleId="6">
    <w:name w:val="heading 6"/>
    <w:basedOn w:val="a"/>
    <w:next w:val="a"/>
    <w:link w:val="60"/>
    <w:unhideWhenUsed/>
    <w:qFormat/>
    <w:rsid w:val="00EC2D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18767E"/>
    <w:pPr>
      <w:keepNext/>
      <w:keepLines/>
      <w:spacing w:before="200" w:line="276" w:lineRule="auto"/>
      <w:ind w:firstLine="0"/>
      <w:jc w:val="left"/>
      <w:outlineLvl w:val="6"/>
    </w:pPr>
    <w:rPr>
      <w:rFonts w:ascii="Cambria" w:hAnsi="Cambria"/>
      <w:b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39335C"/>
    <w:pPr>
      <w:keepNext/>
      <w:keepLines/>
      <w:spacing w:before="200" w:line="276" w:lineRule="auto"/>
      <w:ind w:firstLine="0"/>
      <w:jc w:val="left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39335C"/>
    <w:pPr>
      <w:keepNext/>
      <w:keepLines/>
      <w:spacing w:before="200" w:line="276" w:lineRule="auto"/>
      <w:ind w:firstLine="0"/>
      <w:jc w:val="left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E33A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DF7F69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30">
    <w:name w:val="Заголовок 3 Знак"/>
    <w:link w:val="3"/>
    <w:uiPriority w:val="9"/>
    <w:rsid w:val="00900138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40">
    <w:name w:val="Заголовок 4 Знак"/>
    <w:link w:val="4"/>
    <w:rsid w:val="0064425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FE33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link w:val="6"/>
    <w:rsid w:val="00EC2DE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18767E"/>
    <w:rPr>
      <w:rFonts w:ascii="Cambria" w:eastAsia="Times New Roman" w:hAnsi="Cambria"/>
      <w:b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9335C"/>
    <w:rPr>
      <w:rFonts w:ascii="Cambria" w:eastAsia="Times New Roman" w:hAnsi="Cambria"/>
      <w:color w:val="404040"/>
    </w:rPr>
  </w:style>
  <w:style w:type="character" w:customStyle="1" w:styleId="90">
    <w:name w:val="Заголовок 9 Знак"/>
    <w:link w:val="9"/>
    <w:uiPriority w:val="9"/>
    <w:rsid w:val="0039335C"/>
    <w:rPr>
      <w:rFonts w:ascii="Cambria" w:eastAsia="Times New Roman" w:hAnsi="Cambria"/>
      <w:i/>
      <w:iCs/>
      <w:color w:val="404040"/>
    </w:rPr>
  </w:style>
  <w:style w:type="paragraph" w:styleId="a3">
    <w:name w:val="Body Text Indent"/>
    <w:basedOn w:val="a"/>
    <w:link w:val="a4"/>
    <w:uiPriority w:val="99"/>
    <w:rsid w:val="00FE33A4"/>
    <w:pPr>
      <w:ind w:left="360"/>
      <w:jc w:val="center"/>
    </w:pPr>
    <w:rPr>
      <w:sz w:val="32"/>
      <w:szCs w:val="32"/>
    </w:rPr>
  </w:style>
  <w:style w:type="character" w:customStyle="1" w:styleId="a4">
    <w:name w:val="Основной текст с отступом Знак"/>
    <w:link w:val="a3"/>
    <w:uiPriority w:val="99"/>
    <w:rsid w:val="00FE33A4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31">
    <w:name w:val="Body Text Indent 3"/>
    <w:basedOn w:val="a"/>
    <w:link w:val="32"/>
    <w:uiPriority w:val="99"/>
    <w:rsid w:val="00FE33A4"/>
    <w:pPr>
      <w:ind w:left="360" w:hanging="360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link w:val="31"/>
    <w:uiPriority w:val="99"/>
    <w:rsid w:val="00FE33A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rsid w:val="00FE33A4"/>
    <w:pPr>
      <w:tabs>
        <w:tab w:val="left" w:pos="709"/>
      </w:tabs>
      <w:jc w:val="center"/>
    </w:pPr>
    <w:rPr>
      <w:rFonts w:ascii="TimesET" w:hAnsi="TimesET"/>
      <w:b/>
      <w:bCs/>
    </w:rPr>
  </w:style>
  <w:style w:type="character" w:customStyle="1" w:styleId="22">
    <w:name w:val="Основной текст 2 Знак"/>
    <w:link w:val="21"/>
    <w:rsid w:val="00FE33A4"/>
    <w:rPr>
      <w:rFonts w:ascii="TimesET" w:eastAsia="Times New Roman" w:hAnsi="TimesET" w:cs="TimesET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FE33A4"/>
    <w:pPr>
      <w:widowControl w:val="0"/>
    </w:pPr>
  </w:style>
  <w:style w:type="character" w:customStyle="1" w:styleId="a6">
    <w:name w:val="Основной текст Знак"/>
    <w:link w:val="a5"/>
    <w:uiPriority w:val="99"/>
    <w:rsid w:val="00FE3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FE33A4"/>
    <w:pPr>
      <w:ind w:left="540" w:hanging="540"/>
    </w:pPr>
    <w:rPr>
      <w:b/>
      <w:bCs/>
    </w:rPr>
  </w:style>
  <w:style w:type="character" w:customStyle="1" w:styleId="24">
    <w:name w:val="Основной текст с отступом 2 Знак"/>
    <w:link w:val="23"/>
    <w:uiPriority w:val="99"/>
    <w:rsid w:val="00FE33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7">
    <w:name w:val="Готовый"/>
    <w:basedOn w:val="a"/>
    <w:uiPriority w:val="99"/>
    <w:rsid w:val="00FE33A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styleId="a8">
    <w:name w:val="footnote text"/>
    <w:basedOn w:val="a"/>
    <w:link w:val="a9"/>
    <w:uiPriority w:val="99"/>
    <w:semiHidden/>
    <w:rsid w:val="00FE33A4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FE33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FE33A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Title">
    <w:name w:val="ConsTitle"/>
    <w:uiPriority w:val="99"/>
    <w:rsid w:val="00FE33A4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footer"/>
    <w:basedOn w:val="a"/>
    <w:link w:val="ab"/>
    <w:uiPriority w:val="99"/>
    <w:rsid w:val="00FE33A4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rsid w:val="00FE3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">
    <w:name w:val="Заголовок 0"/>
    <w:basedOn w:val="1"/>
    <w:uiPriority w:val="99"/>
    <w:rsid w:val="00FE33A4"/>
    <w:rPr>
      <w:caps/>
      <w:sz w:val="24"/>
      <w:szCs w:val="24"/>
    </w:rPr>
  </w:style>
  <w:style w:type="paragraph" w:styleId="ac">
    <w:name w:val="header"/>
    <w:basedOn w:val="a"/>
    <w:link w:val="ad"/>
    <w:uiPriority w:val="99"/>
    <w:rsid w:val="00FE33A4"/>
    <w:pPr>
      <w:tabs>
        <w:tab w:val="center" w:pos="4320"/>
        <w:tab w:val="right" w:pos="8640"/>
      </w:tabs>
    </w:pPr>
  </w:style>
  <w:style w:type="character" w:customStyle="1" w:styleId="ad">
    <w:name w:val="Верхний колонтитул Знак"/>
    <w:link w:val="ac"/>
    <w:uiPriority w:val="99"/>
    <w:rsid w:val="00FE3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2">
    <w:name w:val="Iau?iue2"/>
    <w:uiPriority w:val="99"/>
    <w:rsid w:val="00FE33A4"/>
    <w:pPr>
      <w:widowControl w:val="0"/>
    </w:pPr>
    <w:rPr>
      <w:rFonts w:ascii="Times New Roman" w:eastAsia="Times New Roman" w:hAnsi="Times New Roman"/>
      <w:lang w:val="en-US"/>
    </w:rPr>
  </w:style>
  <w:style w:type="paragraph" w:customStyle="1" w:styleId="ae">
    <w:name w:val="Ñòèëü"/>
    <w:uiPriority w:val="99"/>
    <w:rsid w:val="00FE33A4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af">
    <w:name w:val="Îáû÷íûé"/>
    <w:uiPriority w:val="99"/>
    <w:rsid w:val="00FE33A4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customStyle="1" w:styleId="Iauiue">
    <w:name w:val="Iau?iue"/>
    <w:rsid w:val="00FE33A4"/>
    <w:pPr>
      <w:widowControl w:val="0"/>
    </w:pPr>
    <w:rPr>
      <w:rFonts w:ascii="Times New Roman" w:eastAsia="Times New Roman" w:hAnsi="Times New Roman"/>
    </w:rPr>
  </w:style>
  <w:style w:type="paragraph" w:customStyle="1" w:styleId="25">
    <w:name w:val="Îñíîâíîé òåêñò 2"/>
    <w:basedOn w:val="af"/>
    <w:rsid w:val="00FE33A4"/>
    <w:pPr>
      <w:ind w:firstLine="720"/>
      <w:jc w:val="both"/>
    </w:pPr>
    <w:rPr>
      <w:b/>
      <w:bCs/>
      <w:color w:val="000000"/>
      <w:sz w:val="24"/>
      <w:szCs w:val="24"/>
      <w:lang w:val="en-US"/>
    </w:rPr>
  </w:style>
  <w:style w:type="paragraph" w:customStyle="1" w:styleId="26">
    <w:name w:val="Îñíîâíîé òåêñò ñ îòñòóïîì 2"/>
    <w:basedOn w:val="af"/>
    <w:uiPriority w:val="99"/>
    <w:rsid w:val="00FE33A4"/>
    <w:pPr>
      <w:ind w:left="720"/>
      <w:jc w:val="both"/>
    </w:pPr>
    <w:rPr>
      <w:color w:val="000000"/>
      <w:sz w:val="24"/>
      <w:szCs w:val="24"/>
      <w:lang w:val="en-US"/>
    </w:rPr>
  </w:style>
  <w:style w:type="paragraph" w:customStyle="1" w:styleId="11">
    <w:name w:val="çàãîëîâîê 1"/>
    <w:basedOn w:val="af"/>
    <w:next w:val="af"/>
    <w:uiPriority w:val="99"/>
    <w:rsid w:val="00FE33A4"/>
    <w:pPr>
      <w:keepNext/>
    </w:pPr>
  </w:style>
  <w:style w:type="paragraph" w:customStyle="1" w:styleId="33">
    <w:name w:val="Îñíîâíîé òåêñò ñ îòñòóïîì 3"/>
    <w:basedOn w:val="af"/>
    <w:uiPriority w:val="99"/>
    <w:rsid w:val="00FE33A4"/>
    <w:pPr>
      <w:ind w:firstLine="567"/>
      <w:jc w:val="both"/>
    </w:pPr>
    <w:rPr>
      <w:rFonts w:ascii="Peterburg" w:hAnsi="Peterburg" w:cs="Peterburg"/>
      <w:b/>
      <w:bCs/>
      <w:i/>
      <w:iCs/>
      <w:sz w:val="24"/>
      <w:szCs w:val="24"/>
    </w:rPr>
  </w:style>
  <w:style w:type="paragraph" w:customStyle="1" w:styleId="Iniiaiieoaeno">
    <w:name w:val="Iniiaiie oaeno"/>
    <w:basedOn w:val="Iauiue"/>
    <w:uiPriority w:val="99"/>
    <w:rsid w:val="00FE33A4"/>
    <w:pPr>
      <w:widowControl/>
      <w:jc w:val="both"/>
    </w:pPr>
    <w:rPr>
      <w:rFonts w:ascii="Peterburg" w:hAnsi="Peterburg" w:cs="Peterburg"/>
    </w:rPr>
  </w:style>
  <w:style w:type="paragraph" w:customStyle="1" w:styleId="Iniiaiieoaenonionooiii2">
    <w:name w:val="Iniiaiie oaeno n ionooiii 2"/>
    <w:basedOn w:val="Iauiue"/>
    <w:rsid w:val="00FE33A4"/>
    <w:pPr>
      <w:widowControl/>
      <w:ind w:firstLine="284"/>
      <w:jc w:val="both"/>
    </w:pPr>
    <w:rPr>
      <w:rFonts w:ascii="Peterburg" w:hAnsi="Peterburg" w:cs="Peterburg"/>
    </w:rPr>
  </w:style>
  <w:style w:type="paragraph" w:customStyle="1" w:styleId="af0">
    <w:name w:val="основной"/>
    <w:basedOn w:val="a"/>
    <w:uiPriority w:val="99"/>
    <w:rsid w:val="00FE33A4"/>
    <w:pPr>
      <w:keepNext/>
      <w:ind w:firstLine="0"/>
      <w:jc w:val="left"/>
    </w:pPr>
  </w:style>
  <w:style w:type="paragraph" w:customStyle="1" w:styleId="nienie">
    <w:name w:val="nienie"/>
    <w:basedOn w:val="Iauiue"/>
    <w:uiPriority w:val="99"/>
    <w:rsid w:val="00FE33A4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Iniiaiieoaeno2">
    <w:name w:val="Iniiaiie oaeno 2"/>
    <w:basedOn w:val="a"/>
    <w:uiPriority w:val="99"/>
    <w:rsid w:val="00FE33A4"/>
    <w:pPr>
      <w:widowControl w:val="0"/>
      <w:ind w:firstLine="567"/>
    </w:pPr>
    <w:rPr>
      <w:b/>
      <w:bCs/>
      <w:color w:val="000000"/>
    </w:rPr>
  </w:style>
  <w:style w:type="paragraph" w:customStyle="1" w:styleId="af1">
    <w:name w:val="Îñíîâíîé òåêñò"/>
    <w:basedOn w:val="af"/>
    <w:uiPriority w:val="99"/>
    <w:rsid w:val="00FE33A4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customStyle="1" w:styleId="caaieiaie2">
    <w:name w:val="caaieiaie 2"/>
    <w:basedOn w:val="Iauiue"/>
    <w:next w:val="Iauiue"/>
    <w:uiPriority w:val="99"/>
    <w:rsid w:val="00FE33A4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styleId="af2">
    <w:name w:val="Plain Text"/>
    <w:basedOn w:val="a"/>
    <w:link w:val="af3"/>
    <w:uiPriority w:val="99"/>
    <w:rsid w:val="00FE33A4"/>
    <w:pPr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3">
    <w:name w:val="Текст Знак"/>
    <w:link w:val="af2"/>
    <w:uiPriority w:val="99"/>
    <w:rsid w:val="00FE33A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FE33A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R2">
    <w:name w:val="FR2"/>
    <w:uiPriority w:val="99"/>
    <w:rsid w:val="00FE33A4"/>
    <w:pPr>
      <w:widowControl w:val="0"/>
      <w:autoSpaceDE w:val="0"/>
      <w:autoSpaceDN w:val="0"/>
      <w:adjustRightInd w:val="0"/>
      <w:spacing w:line="260" w:lineRule="auto"/>
      <w:ind w:firstLine="160"/>
      <w:jc w:val="both"/>
    </w:pPr>
    <w:rPr>
      <w:rFonts w:ascii="Times New Roman" w:eastAsia="Times New Roman" w:hAnsi="Times New Roman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0C2DCC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0C2DCC"/>
    <w:rPr>
      <w:rFonts w:ascii="Tahoma" w:eastAsia="Times New Roman" w:hAnsi="Tahoma" w:cs="Tahoma"/>
      <w:sz w:val="16"/>
      <w:szCs w:val="16"/>
    </w:rPr>
  </w:style>
  <w:style w:type="paragraph" w:styleId="af6">
    <w:name w:val="Normal (Web)"/>
    <w:basedOn w:val="a"/>
    <w:uiPriority w:val="99"/>
    <w:rsid w:val="00E32078"/>
    <w:pPr>
      <w:spacing w:before="100" w:beforeAutospacing="1" w:after="100" w:afterAutospacing="1"/>
      <w:ind w:firstLine="0"/>
      <w:jc w:val="left"/>
    </w:pPr>
  </w:style>
  <w:style w:type="character" w:styleId="af7">
    <w:name w:val="Hyperlink"/>
    <w:uiPriority w:val="99"/>
    <w:unhideWhenUsed/>
    <w:rsid w:val="00901221"/>
    <w:rPr>
      <w:color w:val="0000FF"/>
      <w:u w:val="single"/>
    </w:rPr>
  </w:style>
  <w:style w:type="character" w:styleId="af8">
    <w:name w:val="FollowedHyperlink"/>
    <w:uiPriority w:val="99"/>
    <w:semiHidden/>
    <w:unhideWhenUsed/>
    <w:rsid w:val="00901221"/>
    <w:rPr>
      <w:color w:val="800080"/>
      <w:u w:val="single"/>
    </w:rPr>
  </w:style>
  <w:style w:type="paragraph" w:styleId="af9">
    <w:name w:val="TOC Heading"/>
    <w:basedOn w:val="1"/>
    <w:next w:val="a"/>
    <w:uiPriority w:val="39"/>
    <w:unhideWhenUsed/>
    <w:qFormat/>
    <w:rsid w:val="00644255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6635A3"/>
    <w:pPr>
      <w:tabs>
        <w:tab w:val="right" w:leader="dot" w:pos="9781"/>
      </w:tabs>
      <w:ind w:firstLine="0"/>
    </w:pPr>
    <w:rPr>
      <w:noProof/>
      <w:sz w:val="22"/>
      <w:szCs w:val="22"/>
    </w:rPr>
  </w:style>
  <w:style w:type="paragraph" w:styleId="afa">
    <w:name w:val="Subtitle"/>
    <w:basedOn w:val="a"/>
    <w:next w:val="a"/>
    <w:link w:val="afb"/>
    <w:uiPriority w:val="11"/>
    <w:qFormat/>
    <w:rsid w:val="002410D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fb">
    <w:name w:val="Подзаголовок Знак"/>
    <w:link w:val="afa"/>
    <w:uiPriority w:val="11"/>
    <w:rsid w:val="002410DD"/>
    <w:rPr>
      <w:rFonts w:ascii="Calibri Light" w:eastAsia="Times New Roman" w:hAnsi="Calibri Light" w:cs="Times New Roman"/>
      <w:sz w:val="24"/>
      <w:szCs w:val="24"/>
    </w:rPr>
  </w:style>
  <w:style w:type="paragraph" w:customStyle="1" w:styleId="ConsPlusNormal">
    <w:name w:val="ConsPlusNormal"/>
    <w:rsid w:val="00B9537C"/>
    <w:pPr>
      <w:widowControl w:val="0"/>
      <w:suppressAutoHyphens/>
      <w:autoSpaceDE w:val="0"/>
    </w:pPr>
    <w:rPr>
      <w:rFonts w:ascii="Arial" w:eastAsia="Arial" w:hAnsi="Arial" w:cs="Arial"/>
      <w:kern w:val="1"/>
      <w:sz w:val="16"/>
      <w:szCs w:val="16"/>
      <w:lang w:eastAsia="hi-IN" w:bidi="hi-IN"/>
    </w:rPr>
  </w:style>
  <w:style w:type="paragraph" w:styleId="27">
    <w:name w:val="toc 2"/>
    <w:basedOn w:val="a"/>
    <w:next w:val="a"/>
    <w:autoRedefine/>
    <w:uiPriority w:val="39"/>
    <w:unhideWhenUsed/>
    <w:rsid w:val="00FF2191"/>
    <w:pPr>
      <w:tabs>
        <w:tab w:val="right" w:leader="dot" w:pos="9781"/>
      </w:tabs>
      <w:ind w:firstLine="567"/>
    </w:pPr>
  </w:style>
  <w:style w:type="paragraph" w:styleId="afc">
    <w:name w:val="Title"/>
    <w:basedOn w:val="a"/>
    <w:next w:val="a"/>
    <w:link w:val="afd"/>
    <w:uiPriority w:val="10"/>
    <w:qFormat/>
    <w:rsid w:val="003742B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d">
    <w:name w:val="Название Знак"/>
    <w:link w:val="afc"/>
    <w:uiPriority w:val="10"/>
    <w:rsid w:val="003742B2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e">
    <w:name w:val="Гипертекстовая ссылка"/>
    <w:uiPriority w:val="99"/>
    <w:rsid w:val="0038243B"/>
    <w:rPr>
      <w:color w:val="106BBE"/>
    </w:rPr>
  </w:style>
  <w:style w:type="paragraph" w:styleId="aff">
    <w:name w:val="List Paragraph"/>
    <w:basedOn w:val="a"/>
    <w:uiPriority w:val="34"/>
    <w:qFormat/>
    <w:rsid w:val="00E569E7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13">
    <w:name w:val="З1"/>
    <w:basedOn w:val="a"/>
    <w:next w:val="a"/>
    <w:rsid w:val="00E569E7"/>
    <w:pPr>
      <w:spacing w:line="360" w:lineRule="auto"/>
      <w:ind w:firstLine="748"/>
    </w:pPr>
    <w:rPr>
      <w:b/>
      <w:snapToGrid w:val="0"/>
    </w:rPr>
  </w:style>
  <w:style w:type="character" w:customStyle="1" w:styleId="aff0">
    <w:name w:val="Цветовое выделение"/>
    <w:uiPriority w:val="99"/>
    <w:rsid w:val="00E569E7"/>
    <w:rPr>
      <w:b/>
      <w:bCs/>
      <w:color w:val="26282F"/>
    </w:rPr>
  </w:style>
  <w:style w:type="paragraph" w:customStyle="1" w:styleId="14">
    <w:name w:val="Стиль1 Знак"/>
    <w:basedOn w:val="3"/>
    <w:rsid w:val="0039335C"/>
    <w:pPr>
      <w:keepLines/>
      <w:spacing w:before="60" w:after="120"/>
    </w:pPr>
    <w:rPr>
      <w:rFonts w:ascii="Arial" w:hAnsi="Arial" w:cs="Arial"/>
      <w:sz w:val="22"/>
      <w:szCs w:val="22"/>
    </w:rPr>
  </w:style>
  <w:style w:type="paragraph" w:customStyle="1" w:styleId="15">
    <w:name w:val="Стиль1"/>
    <w:basedOn w:val="3"/>
    <w:rsid w:val="0039335C"/>
    <w:pPr>
      <w:keepLines/>
      <w:spacing w:before="60" w:after="120"/>
    </w:pPr>
    <w:rPr>
      <w:rFonts w:ascii="Arial" w:hAnsi="Arial" w:cs="Arial"/>
      <w:sz w:val="22"/>
      <w:szCs w:val="22"/>
    </w:rPr>
  </w:style>
  <w:style w:type="paragraph" w:customStyle="1" w:styleId="Web">
    <w:name w:val="Обычный (Web)"/>
    <w:basedOn w:val="a"/>
    <w:rsid w:val="0039335C"/>
    <w:pPr>
      <w:spacing w:before="100" w:after="100"/>
      <w:ind w:firstLine="0"/>
      <w:jc w:val="left"/>
    </w:pPr>
    <w:rPr>
      <w:szCs w:val="20"/>
    </w:rPr>
  </w:style>
  <w:style w:type="paragraph" w:customStyle="1" w:styleId="ConsPlusNormal1">
    <w:name w:val="ConsPlusNormal1"/>
    <w:rsid w:val="0039335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bcs">
    <w:name w:val="bcs"/>
    <w:basedOn w:val="a"/>
    <w:rsid w:val="0039335C"/>
    <w:pPr>
      <w:shd w:val="clear" w:color="auto" w:fill="E7F3FF"/>
      <w:spacing w:before="20" w:after="100" w:afterAutospacing="1"/>
      <w:ind w:firstLine="120"/>
      <w:jc w:val="left"/>
    </w:pPr>
    <w:rPr>
      <w:rFonts w:ascii="Arial" w:hAnsi="Arial" w:cs="Arial"/>
    </w:rPr>
  </w:style>
  <w:style w:type="paragraph" w:customStyle="1" w:styleId="ConsPlusNonformat">
    <w:name w:val="ConsPlusNonformat"/>
    <w:rsid w:val="0039335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grame">
    <w:name w:val="grame"/>
    <w:rsid w:val="0039335C"/>
  </w:style>
  <w:style w:type="character" w:customStyle="1" w:styleId="16">
    <w:name w:val="Основной текст Знак1"/>
    <w:uiPriority w:val="99"/>
    <w:rsid w:val="0039335C"/>
    <w:rPr>
      <w:rFonts w:ascii="Times New Roman" w:hAnsi="Times New Roman" w:cs="Times New Roman"/>
      <w:sz w:val="22"/>
      <w:szCs w:val="22"/>
      <w:u w:val="none"/>
    </w:rPr>
  </w:style>
  <w:style w:type="character" w:customStyle="1" w:styleId="34">
    <w:name w:val="Основной текст (3)_"/>
    <w:link w:val="35"/>
    <w:uiPriority w:val="99"/>
    <w:rsid w:val="0039335C"/>
    <w:rPr>
      <w:rFonts w:ascii="Arial" w:hAnsi="Arial" w:cs="Arial"/>
      <w:b/>
      <w:bCs/>
      <w:sz w:val="30"/>
      <w:szCs w:val="30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39335C"/>
    <w:pPr>
      <w:widowControl w:val="0"/>
      <w:shd w:val="clear" w:color="auto" w:fill="FFFFFF"/>
      <w:spacing w:before="840" w:after="2100" w:line="240" w:lineRule="atLeast"/>
      <w:ind w:firstLine="0"/>
    </w:pPr>
    <w:rPr>
      <w:rFonts w:ascii="Arial" w:eastAsia="Calibri" w:hAnsi="Arial"/>
      <w:b/>
      <w:bCs/>
      <w:sz w:val="30"/>
      <w:szCs w:val="30"/>
    </w:rPr>
  </w:style>
  <w:style w:type="character" w:customStyle="1" w:styleId="319pt">
    <w:name w:val="Основной текст (3) + 19 pt"/>
    <w:uiPriority w:val="99"/>
    <w:rsid w:val="0039335C"/>
    <w:rPr>
      <w:rFonts w:ascii="Arial" w:hAnsi="Arial" w:cs="Arial"/>
      <w:b/>
      <w:bCs/>
      <w:sz w:val="38"/>
      <w:szCs w:val="38"/>
      <w:shd w:val="clear" w:color="auto" w:fill="FFFFFF"/>
    </w:rPr>
  </w:style>
  <w:style w:type="character" w:customStyle="1" w:styleId="17">
    <w:name w:val="Заголовок №1_"/>
    <w:link w:val="18"/>
    <w:uiPriority w:val="99"/>
    <w:rsid w:val="0039335C"/>
    <w:rPr>
      <w:rFonts w:ascii="Arial" w:hAnsi="Arial" w:cs="Arial"/>
      <w:b/>
      <w:bCs/>
      <w:sz w:val="38"/>
      <w:szCs w:val="3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39335C"/>
    <w:pPr>
      <w:widowControl w:val="0"/>
      <w:shd w:val="clear" w:color="auto" w:fill="FFFFFF"/>
      <w:spacing w:before="2100" w:after="900" w:line="240" w:lineRule="atLeast"/>
      <w:ind w:firstLine="0"/>
      <w:jc w:val="center"/>
      <w:outlineLvl w:val="0"/>
    </w:pPr>
    <w:rPr>
      <w:rFonts w:ascii="Arial" w:eastAsia="Calibri" w:hAnsi="Arial"/>
      <w:b/>
      <w:bCs/>
      <w:sz w:val="38"/>
      <w:szCs w:val="38"/>
    </w:rPr>
  </w:style>
  <w:style w:type="character" w:customStyle="1" w:styleId="28">
    <w:name w:val="Заголовок №2_"/>
    <w:link w:val="29"/>
    <w:uiPriority w:val="99"/>
    <w:rsid w:val="0039335C"/>
    <w:rPr>
      <w:rFonts w:ascii="Arial" w:hAnsi="Arial" w:cs="Arial"/>
      <w:b/>
      <w:bCs/>
      <w:sz w:val="30"/>
      <w:szCs w:val="30"/>
      <w:shd w:val="clear" w:color="auto" w:fill="FFFFFF"/>
    </w:rPr>
  </w:style>
  <w:style w:type="paragraph" w:customStyle="1" w:styleId="29">
    <w:name w:val="Заголовок №2"/>
    <w:basedOn w:val="a"/>
    <w:link w:val="28"/>
    <w:uiPriority w:val="99"/>
    <w:rsid w:val="0039335C"/>
    <w:pPr>
      <w:widowControl w:val="0"/>
      <w:shd w:val="clear" w:color="auto" w:fill="FFFFFF"/>
      <w:spacing w:before="900" w:after="660" w:line="811" w:lineRule="exact"/>
      <w:ind w:firstLine="0"/>
      <w:jc w:val="center"/>
      <w:outlineLvl w:val="1"/>
    </w:pPr>
    <w:rPr>
      <w:rFonts w:ascii="Arial" w:eastAsia="Calibri" w:hAnsi="Arial"/>
      <w:b/>
      <w:bCs/>
      <w:sz w:val="30"/>
      <w:szCs w:val="30"/>
    </w:rPr>
  </w:style>
  <w:style w:type="character" w:customStyle="1" w:styleId="219pt">
    <w:name w:val="Заголовок №2 + 19 pt"/>
    <w:uiPriority w:val="99"/>
    <w:rsid w:val="0039335C"/>
    <w:rPr>
      <w:rFonts w:ascii="Arial" w:hAnsi="Arial" w:cs="Arial"/>
      <w:b/>
      <w:bCs/>
      <w:sz w:val="38"/>
      <w:szCs w:val="38"/>
      <w:shd w:val="clear" w:color="auto" w:fill="FFFFFF"/>
    </w:rPr>
  </w:style>
  <w:style w:type="character" w:customStyle="1" w:styleId="apple-converted-space">
    <w:name w:val="apple-converted-space"/>
    <w:rsid w:val="0039335C"/>
  </w:style>
  <w:style w:type="paragraph" w:customStyle="1" w:styleId="s1">
    <w:name w:val="s_1"/>
    <w:basedOn w:val="a"/>
    <w:rsid w:val="0039335C"/>
    <w:pPr>
      <w:spacing w:before="100" w:beforeAutospacing="1" w:after="100" w:afterAutospacing="1"/>
      <w:ind w:firstLine="0"/>
      <w:jc w:val="left"/>
    </w:pPr>
  </w:style>
  <w:style w:type="paragraph" w:customStyle="1" w:styleId="s22">
    <w:name w:val="s_22"/>
    <w:basedOn w:val="a"/>
    <w:rsid w:val="0039335C"/>
    <w:pPr>
      <w:spacing w:before="100" w:beforeAutospacing="1" w:after="100" w:afterAutospacing="1"/>
      <w:ind w:firstLine="0"/>
      <w:jc w:val="left"/>
    </w:pPr>
  </w:style>
  <w:style w:type="paragraph" w:customStyle="1" w:styleId="consnormal0">
    <w:name w:val="consnormal"/>
    <w:basedOn w:val="a"/>
    <w:rsid w:val="0039335C"/>
    <w:pPr>
      <w:spacing w:before="100" w:beforeAutospacing="1" w:after="100" w:afterAutospacing="1"/>
      <w:ind w:firstLine="0"/>
      <w:jc w:val="left"/>
    </w:pPr>
  </w:style>
  <w:style w:type="paragraph" w:styleId="36">
    <w:name w:val="toc 3"/>
    <w:basedOn w:val="a"/>
    <w:next w:val="a"/>
    <w:autoRedefine/>
    <w:uiPriority w:val="39"/>
    <w:unhideWhenUsed/>
    <w:rsid w:val="00FF2191"/>
    <w:pPr>
      <w:tabs>
        <w:tab w:val="right" w:leader="dot" w:pos="9781"/>
      </w:tabs>
      <w:spacing w:after="100" w:line="276" w:lineRule="auto"/>
      <w:ind w:firstLine="0"/>
    </w:pPr>
    <w:rPr>
      <w:rFonts w:ascii="Calibri" w:hAnsi="Calibri"/>
      <w:sz w:val="22"/>
      <w:szCs w:val="22"/>
    </w:rPr>
  </w:style>
  <w:style w:type="character" w:styleId="aff1">
    <w:name w:val="Strong"/>
    <w:uiPriority w:val="22"/>
    <w:qFormat/>
    <w:rsid w:val="0039335C"/>
    <w:rPr>
      <w:b/>
      <w:bCs/>
    </w:rPr>
  </w:style>
  <w:style w:type="character" w:customStyle="1" w:styleId="w">
    <w:name w:val="w"/>
    <w:rsid w:val="0039335C"/>
  </w:style>
  <w:style w:type="paragraph" w:customStyle="1" w:styleId="aff2">
    <w:name w:val="Нормальный (таблица)"/>
    <w:basedOn w:val="a"/>
    <w:next w:val="a"/>
    <w:uiPriority w:val="99"/>
    <w:rsid w:val="0039335C"/>
    <w:pPr>
      <w:widowControl w:val="0"/>
      <w:autoSpaceDE w:val="0"/>
      <w:autoSpaceDN w:val="0"/>
      <w:adjustRightInd w:val="0"/>
      <w:ind w:firstLine="0"/>
    </w:pPr>
  </w:style>
  <w:style w:type="paragraph" w:customStyle="1" w:styleId="aff3">
    <w:name w:val="Центрированный (таблица)"/>
    <w:basedOn w:val="aff2"/>
    <w:next w:val="a"/>
    <w:uiPriority w:val="99"/>
    <w:rsid w:val="0039335C"/>
    <w:pPr>
      <w:jc w:val="center"/>
    </w:pPr>
  </w:style>
  <w:style w:type="paragraph" w:customStyle="1" w:styleId="formattext">
    <w:name w:val="formattext"/>
    <w:basedOn w:val="a"/>
    <w:rsid w:val="0039335C"/>
    <w:pPr>
      <w:spacing w:before="100" w:beforeAutospacing="1" w:after="100" w:afterAutospacing="1"/>
      <w:ind w:firstLine="0"/>
      <w:jc w:val="left"/>
    </w:pPr>
  </w:style>
  <w:style w:type="table" w:styleId="aff4">
    <w:name w:val="Table Grid"/>
    <w:basedOn w:val="a1"/>
    <w:uiPriority w:val="59"/>
    <w:rsid w:val="0039335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Отступ перед"/>
    <w:basedOn w:val="a"/>
    <w:rsid w:val="0039335C"/>
    <w:pPr>
      <w:widowControl w:val="0"/>
      <w:shd w:val="clear" w:color="auto" w:fill="FFFFFF"/>
      <w:autoSpaceDE w:val="0"/>
      <w:autoSpaceDN w:val="0"/>
      <w:adjustRightInd w:val="0"/>
      <w:spacing w:before="120"/>
      <w:ind w:firstLine="284"/>
    </w:pPr>
    <w:rPr>
      <w:szCs w:val="22"/>
    </w:rPr>
  </w:style>
  <w:style w:type="paragraph" w:styleId="aff6">
    <w:name w:val="No Spacing"/>
    <w:uiPriority w:val="99"/>
    <w:qFormat/>
    <w:rsid w:val="006E6780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9">
    <w:name w:val="Сетка таблицы1"/>
    <w:basedOn w:val="a1"/>
    <w:next w:val="aff4"/>
    <w:uiPriority w:val="59"/>
    <w:rsid w:val="00743CF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Intense Emphasis"/>
    <w:uiPriority w:val="21"/>
    <w:qFormat/>
    <w:rsid w:val="00F73513"/>
    <w:rPr>
      <w:i/>
      <w:iCs/>
      <w:color w:val="5B9BD5"/>
    </w:rPr>
  </w:style>
  <w:style w:type="character" w:styleId="aff8">
    <w:name w:val="Emphasis"/>
    <w:uiPriority w:val="20"/>
    <w:qFormat/>
    <w:rsid w:val="00F73513"/>
    <w:rPr>
      <w:i/>
      <w:iCs/>
    </w:rPr>
  </w:style>
  <w:style w:type="character" w:styleId="aff9">
    <w:name w:val="Book Title"/>
    <w:uiPriority w:val="33"/>
    <w:qFormat/>
    <w:rsid w:val="004327F2"/>
    <w:rPr>
      <w:b/>
      <w:bCs/>
      <w:i/>
      <w:iCs/>
      <w:spacing w:val="5"/>
    </w:rPr>
  </w:style>
  <w:style w:type="paragraph" w:customStyle="1" w:styleId="ConsPlusNormal0">
    <w:name w:val="ConsPlusNormal"/>
    <w:rsid w:val="00DE7BCA"/>
    <w:pPr>
      <w:widowControl w:val="0"/>
      <w:suppressAutoHyphens/>
      <w:autoSpaceDE w:val="0"/>
    </w:pPr>
    <w:rPr>
      <w:rFonts w:ascii="Arial" w:eastAsia="Arial" w:hAnsi="Arial" w:cs="Arial"/>
      <w:kern w:val="1"/>
      <w:sz w:val="16"/>
      <w:szCs w:val="16"/>
      <w:lang w:eastAsia="hi-IN" w:bidi="hi-IN"/>
    </w:rPr>
  </w:style>
  <w:style w:type="character" w:customStyle="1" w:styleId="affa">
    <w:name w:val="Текст примечания Знак"/>
    <w:basedOn w:val="a0"/>
    <w:link w:val="affb"/>
    <w:uiPriority w:val="99"/>
    <w:semiHidden/>
    <w:rsid w:val="00DE7BCA"/>
    <w:rPr>
      <w:rFonts w:ascii="Times New Roman" w:eastAsia="Times New Roman" w:hAnsi="Times New Roman"/>
      <w:lang w:val="x-none" w:eastAsia="x-none"/>
    </w:rPr>
  </w:style>
  <w:style w:type="paragraph" w:styleId="affb">
    <w:name w:val="annotation text"/>
    <w:basedOn w:val="a"/>
    <w:link w:val="affa"/>
    <w:uiPriority w:val="99"/>
    <w:semiHidden/>
    <w:unhideWhenUsed/>
    <w:rsid w:val="00DE7BCA"/>
    <w:rPr>
      <w:sz w:val="20"/>
      <w:szCs w:val="20"/>
      <w:lang w:val="x-none" w:eastAsia="x-none"/>
    </w:rPr>
  </w:style>
  <w:style w:type="character" w:customStyle="1" w:styleId="affc">
    <w:name w:val="Тема примечания Знак"/>
    <w:basedOn w:val="affa"/>
    <w:link w:val="affd"/>
    <w:uiPriority w:val="99"/>
    <w:semiHidden/>
    <w:rsid w:val="00DE7BCA"/>
    <w:rPr>
      <w:rFonts w:ascii="Times New Roman" w:eastAsia="Times New Roman" w:hAnsi="Times New Roman"/>
      <w:b/>
      <w:bCs/>
      <w:lang w:val="x-none" w:eastAsia="x-none"/>
    </w:rPr>
  </w:style>
  <w:style w:type="paragraph" w:styleId="affd">
    <w:name w:val="annotation subject"/>
    <w:basedOn w:val="affb"/>
    <w:next w:val="affb"/>
    <w:link w:val="affc"/>
    <w:uiPriority w:val="99"/>
    <w:semiHidden/>
    <w:unhideWhenUsed/>
    <w:rsid w:val="00DE7BCA"/>
    <w:rPr>
      <w:b/>
      <w:bCs/>
    </w:rPr>
  </w:style>
  <w:style w:type="character" w:customStyle="1" w:styleId="blk">
    <w:name w:val="blk"/>
    <w:rsid w:val="00DE7BCA"/>
  </w:style>
  <w:style w:type="character" w:customStyle="1" w:styleId="fontstyle01">
    <w:name w:val="fontstyle01"/>
    <w:basedOn w:val="a0"/>
    <w:rsid w:val="0092443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82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87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065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34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85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5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79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88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62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4" Type="http://schemas.openxmlformats.org/officeDocument/2006/relationships/fontTable" Target="fontTable.xml"/><Relationship Id="rId45" Type="http://schemas.openxmlformats.org/officeDocument/2006/relationships/theme" Target="theme/theme1.xml"/><Relationship Id="rId46" Type="http://schemas.openxmlformats.org/officeDocument/2006/relationships/header" Target="header1.xml"/><Relationship Id="rId47" Type="http://schemas.openxmlformats.org/officeDocument/2006/relationships/footer" Target="footer1.xml"/><Relationship Id="rId5" Type="http://schemas.openxmlformats.org/officeDocument/2006/relationships/settings" Target="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1" Type="http://schemas.openxmlformats.org/officeDocument/2006/relationships/customXml" Target="../customXml/item1.xml"/><Relationship Id="rId4" Type="http://schemas.microsoft.com/office/2007/relationships/stylesWithEffects" Target="stylesWithEffects.xml"/><Relationship Id="rId6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42400&amp;date=10.10.2023" TargetMode="External"/><Relationship Id="rId10" Type="http://schemas.openxmlformats.org/officeDocument/2006/relationships/hyperlink" Target="https://base.garant.ru/71913724/" TargetMode="External"/><Relationship Id="rId11" Type="http://schemas.openxmlformats.org/officeDocument/2006/relationships/hyperlink" Target="https://base.garant.ru/12138258/6f6a564ac5dc1fa713a326239c5c2f5d/" TargetMode="External"/><Relationship Id="rId12" Type="http://schemas.openxmlformats.org/officeDocument/2006/relationships/hyperlink" Target="https://base.garant.ru/12138258/c7f0164139c159e5c4e7786790ae469d/" TargetMode="External"/><Relationship Id="rId13" Type="http://schemas.openxmlformats.org/officeDocument/2006/relationships/hyperlink" Target="https://base.garant.ru/71646916/582545ba52e0e0d23dd67d4b21e62bae/" TargetMode="External"/><Relationship Id="rId14" Type="http://schemas.openxmlformats.org/officeDocument/2006/relationships/hyperlink" Target="https://base.garant.ru/12138258/1cafb24d049dcd1e7707a22d98e9858f/" TargetMode="External"/><Relationship Id="rId15" Type="http://schemas.openxmlformats.org/officeDocument/2006/relationships/hyperlink" Target="https://base.garant.ru/71848756/9d78f2e21a0e8d6e5a75ac4e4a939832/" TargetMode="External"/><Relationship Id="rId16" Type="http://schemas.openxmlformats.org/officeDocument/2006/relationships/hyperlink" Target="https://base.garant.ru/12138258/1cafb24d049dcd1e7707a22d98e9858f/" TargetMode="External"/><Relationship Id="rId17" Type="http://schemas.openxmlformats.org/officeDocument/2006/relationships/hyperlink" Target="https://base.garant.ru/12138258/c7f0164139c159e5c4e7786790ae469d/" TargetMode="External"/><Relationship Id="rId18" Type="http://schemas.openxmlformats.org/officeDocument/2006/relationships/hyperlink" Target="https://base.garant.ru/12138258/c7f0164139c159e5c4e7786790ae469d/" TargetMode="External"/><Relationship Id="rId19" Type="http://schemas.openxmlformats.org/officeDocument/2006/relationships/hyperlink" Target="https://base.garant.ru/12138258/c7f0164139c159e5c4e7786790ae469d/" TargetMode="External"/><Relationship Id="rId20" Type="http://schemas.openxmlformats.org/officeDocument/2006/relationships/hyperlink" Target="https://base.garant.ru/12138258/c7f0164139c159e5c4e7786790ae469d/" TargetMode="External"/><Relationship Id="rId21" Type="http://schemas.openxmlformats.org/officeDocument/2006/relationships/hyperlink" Target="https://base.garant.ru/12138258/363aa18e6c32ff15fa5ec3b09cbefbf6/" TargetMode="External"/><Relationship Id="rId22" Type="http://schemas.openxmlformats.org/officeDocument/2006/relationships/hyperlink" Target="http://ivo.garant.ru/document?id=57329391&amp;sub=501010" TargetMode="External"/><Relationship Id="rId23" Type="http://schemas.openxmlformats.org/officeDocument/2006/relationships/hyperlink" Target="http://ivo.garant.ru/document?id=12048567&amp;sub=0" TargetMode="External"/><Relationship Id="rId24" Type="http://schemas.openxmlformats.org/officeDocument/2006/relationships/hyperlink" Target="http://ivo.garant.ru/" TargetMode="External"/><Relationship Id="rId25" Type="http://schemas.openxmlformats.org/officeDocument/2006/relationships/hyperlink" Target="http://ivo.garant.ru/" TargetMode="External"/><Relationship Id="rId26" Type="http://schemas.openxmlformats.org/officeDocument/2006/relationships/hyperlink" Target="http://ivo.garant.ru/" TargetMode="External"/><Relationship Id="rId27" Type="http://schemas.openxmlformats.org/officeDocument/2006/relationships/hyperlink" Target="http://ivo.garant.ru/" TargetMode="External"/><Relationship Id="rId28" Type="http://schemas.openxmlformats.org/officeDocument/2006/relationships/hyperlink" Target="http://ivo.garant.ru/" TargetMode="External"/><Relationship Id="rId29" Type="http://schemas.openxmlformats.org/officeDocument/2006/relationships/hyperlink" Target="http://ivo.garant.ru/" TargetMode="External"/><Relationship Id="rId30" Type="http://schemas.openxmlformats.org/officeDocument/2006/relationships/hyperlink" Target="http://ivo.garant.ru/" TargetMode="External"/><Relationship Id="rId31" Type="http://schemas.openxmlformats.org/officeDocument/2006/relationships/hyperlink" Target="http://ivo.garant.ru/" TargetMode="External"/><Relationship Id="rId32" Type="http://schemas.openxmlformats.org/officeDocument/2006/relationships/hyperlink" Target="http://ivo.garant.ru/" TargetMode="External"/><Relationship Id="rId33" Type="http://schemas.openxmlformats.org/officeDocument/2006/relationships/hyperlink" Target="http://ivo.garant.ru/" TargetMode="External"/><Relationship Id="rId34" Type="http://schemas.openxmlformats.org/officeDocument/2006/relationships/hyperlink" Target="http://ivo.garant.ru/" TargetMode="External"/><Relationship Id="rId35" Type="http://schemas.openxmlformats.org/officeDocument/2006/relationships/hyperlink" Target="http://ivo.garant.ru/" TargetMode="External"/><Relationship Id="rId36" Type="http://schemas.openxmlformats.org/officeDocument/2006/relationships/hyperlink" Target="http://ivo.garant.ru/" TargetMode="External"/><Relationship Id="rId37" Type="http://schemas.openxmlformats.org/officeDocument/2006/relationships/hyperlink" Target="http://ivo.garant.ru/" TargetMode="External"/><Relationship Id="rId38" Type="http://schemas.openxmlformats.org/officeDocument/2006/relationships/hyperlink" Target="http://ivo.garant.ru/" TargetMode="External"/><Relationship Id="rId39" Type="http://schemas.openxmlformats.org/officeDocument/2006/relationships/hyperlink" Target="http://ivo.garant.ru/" TargetMode="External"/><Relationship Id="rId40" Type="http://schemas.openxmlformats.org/officeDocument/2006/relationships/hyperlink" Target="https://login.consultant.ru/link/?req=doc&amp;demo=2&amp;base=LAW&amp;n=437094&amp;dst=4254&amp;field=134&amp;date=10.10.2023" TargetMode="External"/><Relationship Id="rId41" Type="http://schemas.openxmlformats.org/officeDocument/2006/relationships/hyperlink" Target="https://www.consultant.ru/document/cons_doc_LAW_436411/70ac306826bc92daa560ad83d22d3b26c2834b8b/" TargetMode="Externa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6C168ED-7C89-4E08-AD2A-2F25BBA8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32</Pages>
  <Words>16938</Words>
  <Characters>96552</Characters>
  <Application>Microsoft Office Word</Application>
  <DocSecurity>0</DocSecurity>
  <Lines>804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землепользования и застройки</vt:lpstr>
    </vt:vector>
  </TitlesOfParts>
  <Company/>
  <LinksUpToDate>false</LinksUpToDate>
  <CharactersWithSpaces>113264</CharactersWithSpaces>
  <SharedDoc>false</SharedDoc>
  <HLinks>
    <vt:vector size="900" baseType="variant">
      <vt:variant>
        <vt:i4>720915</vt:i4>
      </vt:variant>
      <vt:variant>
        <vt:i4>501</vt:i4>
      </vt:variant>
      <vt:variant>
        <vt:i4>0</vt:i4>
      </vt:variant>
      <vt:variant>
        <vt:i4>5</vt:i4>
      </vt:variant>
      <vt:variant>
        <vt:lpwstr>http://garant.park.ru/doc.jsp?urn=urn:garant:12038258&amp;anchor=1012</vt:lpwstr>
      </vt:variant>
      <vt:variant>
        <vt:lpwstr>1012</vt:lpwstr>
      </vt:variant>
      <vt:variant>
        <vt:i4>5374026</vt:i4>
      </vt:variant>
      <vt:variant>
        <vt:i4>498</vt:i4>
      </vt:variant>
      <vt:variant>
        <vt:i4>0</vt:i4>
      </vt:variant>
      <vt:variant>
        <vt:i4>5</vt:i4>
      </vt:variant>
      <vt:variant>
        <vt:lpwstr>http://garant.park.ru/doc.jsp?urn=urn:garant:12027232</vt:lpwstr>
      </vt:variant>
      <vt:variant>
        <vt:lpwstr/>
      </vt:variant>
      <vt:variant>
        <vt:i4>6357042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6619194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Par286</vt:lpwstr>
      </vt:variant>
      <vt:variant>
        <vt:i4>6357050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6357042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6291510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7274548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6357042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6553648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6291504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Par120</vt:lpwstr>
      </vt:variant>
      <vt:variant>
        <vt:i4>6750258</vt:i4>
      </vt:variant>
      <vt:variant>
        <vt:i4>456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5767170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5636098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6357042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6553648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6291504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Par120</vt:lpwstr>
      </vt:variant>
      <vt:variant>
        <vt:i4>6750258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5767170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5636098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6357042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6488116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Par567</vt:lpwstr>
      </vt:variant>
      <vt:variant>
        <vt:i4>7143479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Par559</vt:lpwstr>
      </vt:variant>
      <vt:variant>
        <vt:i4>6553655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Par550</vt:lpwstr>
      </vt:variant>
      <vt:variant>
        <vt:i4>6357046</vt:i4>
      </vt:variant>
      <vt:variant>
        <vt:i4>411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6488112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Par220</vt:lpwstr>
      </vt:variant>
      <vt:variant>
        <vt:i4>6815803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6750258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Par402</vt:lpwstr>
      </vt:variant>
      <vt:variant>
        <vt:i4>6422587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Par390</vt:lpwstr>
      </vt:variant>
      <vt:variant>
        <vt:i4>6357041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Par333</vt:lpwstr>
      </vt:variant>
      <vt:variant>
        <vt:i4>6291515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7274548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6357042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6357041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Par333</vt:lpwstr>
      </vt:variant>
      <vt:variant>
        <vt:i4>6291515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6357042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6357041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Par333</vt:lpwstr>
      </vt:variant>
      <vt:variant>
        <vt:i4>6291515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7274548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6291514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Par382</vt:lpwstr>
      </vt:variant>
      <vt:variant>
        <vt:i4>6357042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6357046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6619184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Par420</vt:lpwstr>
      </vt:variant>
      <vt:variant>
        <vt:i4>6684725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Par374</vt:lpwstr>
      </vt:variant>
      <vt:variant>
        <vt:i4>6684727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  <vt:variant>
        <vt:i4>6684725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Par374</vt:lpwstr>
      </vt:variant>
      <vt:variant>
        <vt:i4>6684727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  <vt:variant>
        <vt:i4>6684720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Par324</vt:lpwstr>
      </vt:variant>
      <vt:variant>
        <vt:i4>6422576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6684723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Par314</vt:lpwstr>
      </vt:variant>
      <vt:variant>
        <vt:i4>6553650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Par306</vt:lpwstr>
      </vt:variant>
      <vt:variant>
        <vt:i4>7012411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6619194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Par286</vt:lpwstr>
      </vt:variant>
      <vt:variant>
        <vt:i4>6357050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6750261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Par274</vt:lpwstr>
      </vt:variant>
      <vt:variant>
        <vt:i4>6619188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Par266</vt:lpwstr>
      </vt:variant>
      <vt:variant>
        <vt:i4>7012401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Par238</vt:lpwstr>
      </vt:variant>
      <vt:variant>
        <vt:i4>6750257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6750256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6619191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Par256</vt:lpwstr>
      </vt:variant>
      <vt:variant>
        <vt:i4>6357047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7274548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6291514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Par382</vt:lpwstr>
      </vt:variant>
      <vt:variant>
        <vt:i4>6357042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6357046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6619184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Par420</vt:lpwstr>
      </vt:variant>
      <vt:variant>
        <vt:i4>6946869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Par378</vt:lpwstr>
      </vt:variant>
      <vt:variant>
        <vt:i4>6422581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6684725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Par374</vt:lpwstr>
      </vt:variant>
      <vt:variant>
        <vt:i4>6684727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  <vt:variant>
        <vt:i4>6684720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Par324</vt:lpwstr>
      </vt:variant>
      <vt:variant>
        <vt:i4>6422576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6684723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Par314</vt:lpwstr>
      </vt:variant>
      <vt:variant>
        <vt:i4>6553650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Par306</vt:lpwstr>
      </vt:variant>
      <vt:variant>
        <vt:i4>7012411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6619194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Par286</vt:lpwstr>
      </vt:variant>
      <vt:variant>
        <vt:i4>6357050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6750261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Par274</vt:lpwstr>
      </vt:variant>
      <vt:variant>
        <vt:i4>6619188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Par266</vt:lpwstr>
      </vt:variant>
      <vt:variant>
        <vt:i4>6619191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Par256</vt:lpwstr>
      </vt:variant>
      <vt:variant>
        <vt:i4>6357047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6750256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6291510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6750256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6357042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6291510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6750256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6357042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6291510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720915</vt:i4>
      </vt:variant>
      <vt:variant>
        <vt:i4>165</vt:i4>
      </vt:variant>
      <vt:variant>
        <vt:i4>0</vt:i4>
      </vt:variant>
      <vt:variant>
        <vt:i4>5</vt:i4>
      </vt:variant>
      <vt:variant>
        <vt:lpwstr>http://garant.park.ru/doc.jsp?urn=urn:garant:12038258&amp;anchor=1012</vt:lpwstr>
      </vt:variant>
      <vt:variant>
        <vt:lpwstr>1012</vt:lpwstr>
      </vt:variant>
      <vt:variant>
        <vt:i4>5374026</vt:i4>
      </vt:variant>
      <vt:variant>
        <vt:i4>162</vt:i4>
      </vt:variant>
      <vt:variant>
        <vt:i4>0</vt:i4>
      </vt:variant>
      <vt:variant>
        <vt:i4>5</vt:i4>
      </vt:variant>
      <vt:variant>
        <vt:lpwstr>http://garant.park.ru/doc.jsp?urn=urn:garant:12027232</vt:lpwstr>
      </vt:variant>
      <vt:variant>
        <vt:lpwstr/>
      </vt:variant>
      <vt:variant>
        <vt:i4>1703968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sub_102</vt:lpwstr>
      </vt:variant>
      <vt:variant>
        <vt:i4>6684727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Par552</vt:lpwstr>
      </vt:variant>
      <vt:variant>
        <vt:i4>7143478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Par549</vt:lpwstr>
      </vt:variant>
      <vt:variant>
        <vt:i4>7143478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Par549</vt:lpwstr>
      </vt:variant>
      <vt:variant>
        <vt:i4>6684726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Par542</vt:lpwstr>
      </vt:variant>
      <vt:variant>
        <vt:i4>1703972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sub_501010</vt:lpwstr>
      </vt:variant>
      <vt:variant>
        <vt:i4>3342386</vt:i4>
      </vt:variant>
      <vt:variant>
        <vt:i4>141</vt:i4>
      </vt:variant>
      <vt:variant>
        <vt:i4>0</vt:i4>
      </vt:variant>
      <vt:variant>
        <vt:i4>5</vt:i4>
      </vt:variant>
      <vt:variant>
        <vt:lpwstr>http://ivo.garant.ru/document?id=12048567&amp;sub=0</vt:lpwstr>
      </vt:variant>
      <vt:variant>
        <vt:lpwstr/>
      </vt:variant>
      <vt:variant>
        <vt:i4>1572900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sub_501012</vt:lpwstr>
      </vt:variant>
      <vt:variant>
        <vt:i4>2031652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sub_501015</vt:lpwstr>
      </vt:variant>
      <vt:variant>
        <vt:i4>655364</vt:i4>
      </vt:variant>
      <vt:variant>
        <vt:i4>132</vt:i4>
      </vt:variant>
      <vt:variant>
        <vt:i4>0</vt:i4>
      </vt:variant>
      <vt:variant>
        <vt:i4>5</vt:i4>
      </vt:variant>
      <vt:variant>
        <vt:lpwstr>http://ivo.garant.ru/document?id=57329391&amp;sub=501010</vt:lpwstr>
      </vt:variant>
      <vt:variant>
        <vt:lpwstr/>
      </vt:variant>
      <vt:variant>
        <vt:i4>1572900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sub_501012</vt:lpwstr>
      </vt:variant>
      <vt:variant>
        <vt:i4>1572896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sub_501052</vt:lpwstr>
      </vt:variant>
      <vt:variant>
        <vt:i4>1572897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sub_501042</vt:lpwstr>
      </vt:variant>
      <vt:variant>
        <vt:i4>1572896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sub_501052</vt:lpwstr>
      </vt:variant>
      <vt:variant>
        <vt:i4>1572897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sub_501042</vt:lpwstr>
      </vt:variant>
      <vt:variant>
        <vt:i4>2752533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sub_50103</vt:lpwstr>
      </vt:variant>
      <vt:variant>
        <vt:i4>2752533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sub_5010</vt:lpwstr>
      </vt:variant>
      <vt:variant>
        <vt:i4>2949141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sub_4601</vt:lpwstr>
      </vt:variant>
      <vt:variant>
        <vt:i4>1900578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sub_37</vt:lpwstr>
      </vt:variant>
      <vt:variant>
        <vt:i4>1638455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_Toc533618034</vt:lpwstr>
      </vt:variant>
      <vt:variant>
        <vt:i4>1638455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_Toc533618033</vt:lpwstr>
      </vt:variant>
      <vt:variant>
        <vt:i4>1638455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_Toc533618032</vt:lpwstr>
      </vt:variant>
      <vt:variant>
        <vt:i4>1638455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_Toc533618031</vt:lpwstr>
      </vt:variant>
      <vt:variant>
        <vt:i4>1638455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_Toc533618030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_Toc533618029</vt:lpwstr>
      </vt:variant>
      <vt:variant>
        <vt:i4>1572919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_Toc533618028</vt:lpwstr>
      </vt:variant>
      <vt:variant>
        <vt:i4>1572919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_Toc533618027</vt:lpwstr>
      </vt:variant>
      <vt:variant>
        <vt:i4>1572919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_Toc533618026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_Toc533618025</vt:lpwstr>
      </vt:variant>
      <vt:variant>
        <vt:i4>1572919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_Toc533618024</vt:lpwstr>
      </vt:variant>
      <vt:variant>
        <vt:i4>1572919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_Toc533618023</vt:lpwstr>
      </vt:variant>
      <vt:variant>
        <vt:i4>1572919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_Toc533618022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_Toc533618021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_Toc533618020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_Toc533618019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_Toc533618018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землепользования и застройки</dc:title>
  <dc:creator>Наталья</dc:creator>
  <cp:lastModifiedBy>Наталья</cp:lastModifiedBy>
</cp:coreProperties>
</file>