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14:paraId="00000002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3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4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5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6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7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8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9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A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B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C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D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E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14:paraId="0000000F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14:paraId="00000010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14:paraId="00000011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14:paraId="00000012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14:paraId="00000013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14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15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00000016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21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августа</w:t>
      </w:r>
      <w:r>
        <w:rPr>
          <w:b/>
          <w:sz w:val="32"/>
          <w:szCs w:val="32"/>
        </w:rPr>
        <w:t xml:space="preserve"> 202</w:t>
      </w:r>
      <w:r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года                                    </w:t>
      </w:r>
      <w:r>
        <w:rPr>
          <w:b/>
          <w:sz w:val="32"/>
          <w:szCs w:val="32"/>
        </w:rPr>
        <w:t xml:space="preserve">                             № 46</w:t>
      </w:r>
      <w:bookmarkStart w:id="0" w:name="_GoBack"/>
      <w:bookmarkEnd w:id="0"/>
    </w:p>
    <w:p w14:paraId="00000017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8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9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A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B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C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D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E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F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20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21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2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3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4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5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6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7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8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9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A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B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C">
      <w:pPr>
        <w:jc w:val="center"/>
        <w:rPr>
          <w:sz w:val="28"/>
          <w:szCs w:val="28"/>
        </w:rPr>
      </w:pPr>
    </w:p>
    <w:p w14:paraId="0000002D">
      <w:pPr>
        <w:jc w:val="center"/>
        <w:rPr>
          <w:sz w:val="28"/>
          <w:szCs w:val="28"/>
        </w:rPr>
      </w:pPr>
    </w:p>
    <w:p w14:paraId="0000002E">
      <w:pPr>
        <w:jc w:val="center"/>
        <w:rPr>
          <w:sz w:val="28"/>
          <w:szCs w:val="28"/>
        </w:rPr>
      </w:pPr>
    </w:p>
    <w:p w14:paraId="0000002F">
      <w:pPr>
        <w:jc w:val="center"/>
        <w:rPr>
          <w:sz w:val="28"/>
          <w:szCs w:val="28"/>
        </w:rPr>
      </w:pPr>
    </w:p>
    <w:p w14:paraId="0000003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14:paraId="00000031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14:paraId="0000003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14:paraId="0000003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00000034">
      <w:pPr>
        <w:jc w:val="center"/>
        <w:rPr>
          <w:sz w:val="28"/>
          <w:szCs w:val="28"/>
        </w:rPr>
      </w:pPr>
    </w:p>
    <w:p w14:paraId="00000035">
      <w:r>
        <w:t>Является официальным печатным</w:t>
      </w:r>
    </w:p>
    <w:p w14:paraId="00000036">
      <w:r>
        <w:t>изданием Берсеневского сельского поселения</w:t>
      </w:r>
    </w:p>
    <w:p w14:paraId="00000037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14:paraId="00000038">
      <w:r>
        <w:t>Основан</w:t>
      </w:r>
      <w:r>
        <w:t xml:space="preserve"> в ноябре 2005 года.</w:t>
      </w:r>
    </w:p>
    <w:p w14:paraId="00000039"/>
    <w:p w14:paraId="00000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Ж А Н И Е:</w:t>
      </w:r>
    </w:p>
    <w:p w14:paraId="0000003B"/>
    <w:p w14:paraId="0000003C">
      <w:pPr>
        <w:pStyle w:val="Normal"/>
        <w:spacing w:after="0" w:line="240" w:lineRule="auto"/>
        <w:jc w:val="center"/>
        <w:rPr>
          <w:rFonts w:ascii="Times New Roman" w:hAnsi="Times New Roman" w:hint="default"/>
          <w:b/>
          <w:color w:val="22272f"/>
          <w:sz w:val="28"/>
          <w:szCs w:val="28"/>
        </w:rPr>
      </w:pPr>
      <w:r>
        <w:rPr>
          <w:rFonts w:ascii="Times New Roman" w:hAnsi="Times New Roman" w:hint="default"/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14:paraId="0000003D"/>
    <w:p w14:paraId="0000003E"/>
    <w:p w14:paraId="0000003F"/>
    <w:p w14:paraId="00000040"/>
    <w:p w14:paraId="00000041"/>
    <w:p w14:paraId="00000042"/>
    <w:p w14:paraId="00000043"/>
    <w:p w14:paraId="00000044"/>
    <w:p w14:paraId="00000045"/>
    <w:p w14:paraId="00000046"/>
    <w:p w14:paraId="00000047"/>
    <w:p w14:paraId="00000048"/>
    <w:p w14:paraId="00000049"/>
    <w:p w14:paraId="0000004A"/>
    <w:p w14:paraId="0000004B"/>
    <w:p w14:paraId="0000004C"/>
    <w:p w14:paraId="0000004D"/>
    <w:p w14:paraId="0000004E"/>
    <w:p w14:paraId="0000004F"/>
    <w:p w14:paraId="00000050"/>
    <w:p w14:paraId="00000051"/>
    <w:p w14:paraId="00000052"/>
    <w:p w14:paraId="00000053"/>
    <w:p w14:paraId="00000054"/>
    <w:p w14:paraId="00000055"/>
    <w:p w14:paraId="00000056"/>
    <w:p w14:paraId="00000057"/>
    <w:p w14:paraId="00000058"/>
    <w:p w14:paraId="00000059"/>
    <w:p w14:paraId="0000005A"/>
    <w:p w14:paraId="0000005B"/>
    <w:p w14:paraId="0000005C"/>
    <w:p w14:paraId="0000005D"/>
    <w:p w14:paraId="0000005E"/>
    <w:p w14:paraId="0000005F"/>
    <w:p w14:paraId="00000060"/>
    <w:p w14:paraId="00000061"/>
    <w:p w14:paraId="00000062"/>
    <w:p w14:paraId="00000063"/>
    <w:p w14:paraId="00000064"/>
    <w:p w14:paraId="00000065">
      <w:pPr>
        <w:pStyle w:val="Normal"/>
        <w:spacing w:after="0" w:line="240" w:lineRule="auto"/>
        <w:jc w:val="center"/>
        <w:rPr>
          <w:rFonts w:ascii="Times New Roman" w:hAnsi="Times New Roman" w:hint="default"/>
          <w:b/>
          <w:color w:val="22272f"/>
          <w:sz w:val="28"/>
          <w:szCs w:val="28"/>
        </w:rPr>
      </w:pPr>
      <w:r>
        <w:rPr>
          <w:rFonts w:ascii="Times New Roman" w:hAnsi="Times New Roman" w:hint="default"/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14:paraId="00000066">
      <w:pPr>
        <w:pStyle w:val="Normal"/>
        <w:spacing w:after="0" w:line="240" w:lineRule="auto"/>
        <w:jc w:val="center"/>
        <w:rPr>
          <w:rFonts w:ascii="Times New Roman" w:hAnsi="Times New Roman" w:hint="default"/>
          <w:b/>
          <w:color w:val="22272f"/>
          <w:sz w:val="16"/>
          <w:szCs w:val="16"/>
        </w:rPr>
      </w:pPr>
    </w:p>
    <w:tbl>
      <w:tblPr>
        <w:tblW w:w="9782" w:type="dxa"/>
        <w:tblInd w:w="-4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4A0"/>
      </w:tblPr>
      <w:tblGrid>
        <w:gridCol w:w="2693"/>
        <w:gridCol w:w="7089"/>
      </w:tblGrid>
      <w:tr>
        <w:trPr>
          <w:wAfter w:w="0" w:type="dxa"/>
          <w:cantSplit w:val="off"/>
        </w:trPr>
        <w:tc>
          <w:tcPr>
            <w:cnfStyle w:val="101000000000"/>
            <w:tcW w:w="9782" w:type="dxa"/>
            <w:gridSpan w:val="2"/>
            <w:shd w:val="clear" w:color="auto" w:fill="auto"/>
          </w:tcPr>
          <w:p w14:paraId="00000067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В отношении объектов недвижимого имущества, располож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енных на территории кадастрового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ква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р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тала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:</w:t>
            </w:r>
            <w:r>
              <w:rPr>
                <w:rFonts w:ascii="Times New Roman" w:eastAsia="Times New Roman" w:hAnsi="Times New Roman" w:hint="default"/>
                <w:color w:val="22272f"/>
                <w:highlight w:val="non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highlight w:val="none"/>
                <w:lang w:eastAsia="ru-RU"/>
              </w:rPr>
              <w:t>13:</w:t>
            </w:r>
            <w:r>
              <w:rPr>
                <w:rFonts w:ascii="Times New Roman" w:eastAsia="Times New Roman" w:hAnsi="Times New Roman" w:hint="default"/>
                <w:color w:val="22272f"/>
                <w:highlight w:val="none"/>
                <w:lang w:eastAsia="ru-RU"/>
              </w:rPr>
              <w:t>15:</w:t>
            </w:r>
            <w:r>
              <w:rPr>
                <w:rFonts w:ascii="Times New Roman" w:eastAsia="Times New Roman" w:hAnsi="Times New Roman" w:hint="default"/>
                <w:color w:val="22272f"/>
                <w:highlight w:val="none"/>
                <w:lang w:eastAsia="ru-RU"/>
              </w:rPr>
              <w:t>0107008</w:t>
            </w:r>
          </w:p>
          <w:p w14:paraId="00000068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субъект Росс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ийской Федерации – Республика Мордовия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,</w:t>
            </w:r>
          </w:p>
          <w:p w14:paraId="00000069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муниципальное образование  -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Берсеневское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сельское поселение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Лямбирского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муниципального района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,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населенный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пункт –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п.Чекаевский</w:t>
            </w:r>
          </w:p>
          <w:p w14:paraId="0000006A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№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кадастрового квартала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13:15:0107008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соответствии с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муниципальным контрактом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на выполнение комплексных кадастровых работ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на территории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Лямбирского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от "2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7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" 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апреля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2024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г. № 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1 в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ыполняются комплексные кадастровые работы.</w:t>
            </w:r>
          </w:p>
          <w:p w14:paraId="0000006B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Уведомляем всех заинтересованных лиц о завершен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ии подготовки проекта карты-плана территории, с которым можно ознакомиться по адресу работы согласительной комиссии: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Республика Мордовия, Лямбирского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 xml:space="preserve"> район, 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с.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 xml:space="preserve"> Берсеневка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, ул.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Советская, д.64-а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(здание администрации)</w:t>
            </w:r>
          </w:p>
          <w:p w14:paraId="0000006C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или на официальных сайтах в информаци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онн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о-телекоммуникационной сети «Интернет»</w:t>
            </w:r>
            <w:r>
              <w:rPr>
                <w:rFonts w:ascii="Times New Roman" w:eastAsia="Times New Roman" w:hAnsi="Times New Roman" w:hint="default"/>
                <w:color w:val="22272f"/>
                <w:lang w:eastAsia="ru-RU"/>
              </w:rPr>
              <w:t>:</w:t>
            </w:r>
          </w:p>
        </w:tc>
      </w:tr>
      <w:tr>
        <w:trPr>
          <w:wAfter w:w="0" w:type="dxa"/>
          <w:cantSplit w:val="off"/>
          <w:trHeight w:val="921" w:hRule="atLeast"/>
        </w:trPr>
        <w:tc>
          <w:tcPr>
            <w:cnfStyle w:val="001000100000"/>
            <w:tcW w:w="6684" w:type="dxa"/>
            <w:shd w:val="clear" w:color="auto" w:fill="auto"/>
          </w:tcPr>
          <w:p w14:paraId="0000006D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</w:pPr>
          </w:p>
          <w:p w14:paraId="0000006E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</w:pPr>
          </w:p>
          <w:p w14:paraId="0000006F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  <w:t>Админ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  <w:t xml:space="preserve">истрация 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  <w:t>Берсеневского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  <w:t xml:space="preserve">сельского поселения 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  <w:t>Лямбирского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highlight w:val="none"/>
                <w:u w:val="single"/>
                <w:lang w:eastAsia="ru-RU"/>
              </w:rPr>
              <w:t xml:space="preserve"> муниципального района Республики Мордовия</w:t>
            </w:r>
          </w:p>
          <w:p w14:paraId="00000070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6"/>
                <w:szCs w:val="16"/>
                <w:highlight w:val="none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16"/>
                <w:szCs w:val="16"/>
                <w:highlight w:val="none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cnfStyle w:val="000000100000"/>
            <w:tcW w:w="3098" w:type="dxa"/>
            <w:shd w:val="clear" w:color="auto" w:fill="auto"/>
          </w:tcPr>
          <w:p w14:paraId="00000071">
            <w:pPr>
              <w:pStyle w:val="Normal"/>
              <w:spacing w:after="0" w:line="240" w:lineRule="auto"/>
              <w:rPr>
                <w:rFonts w:ascii="&amp;quot" w:eastAsia="Times New Roman" w:hAnsi="&amp;quot" w:hint="default"/>
                <w:color w:val="22272f"/>
                <w:sz w:val="18"/>
                <w:szCs w:val="18"/>
                <w:highlight w:val="none"/>
                <w:lang w:eastAsia="ru-RU"/>
              </w:rPr>
            </w:pPr>
            <w:r>
              <w:rPr>
                <w:rFonts w:ascii="&amp;quot" w:eastAsia="Times New Roman" w:hAnsi="&amp;quot" w:hint="default"/>
                <w:color w:val="22272f"/>
                <w:sz w:val="18"/>
                <w:szCs w:val="18"/>
                <w:highlight w:val="none"/>
                <w:lang w:eastAsia="ru-RU"/>
              </w:rPr>
              <w:t xml:space="preserve">           </w:t>
            </w:r>
          </w:p>
          <w:p w14:paraId="00000072">
            <w:pPr>
              <w:pStyle w:val="Normal"/>
              <w:spacing w:after="0" w:line="240" w:lineRule="auto"/>
              <w:rPr>
                <w:rFonts w:ascii="&amp;quot" w:eastAsia="Times New Roman" w:hAnsi="&amp;quot" w:hint="default"/>
                <w:color w:val="22272f"/>
                <w:sz w:val="18"/>
                <w:szCs w:val="18"/>
                <w:highlight w:val="none"/>
                <w:lang w:eastAsia="ru-RU"/>
              </w:rPr>
            </w:pPr>
            <w:r>
              <w:rPr>
                <w:rFonts w:ascii="&amp;quot" w:eastAsia="Times New Roman" w:hAnsi="&amp;quot" w:hint="default"/>
                <w:color w:val="22272f"/>
                <w:sz w:val="18"/>
                <w:szCs w:val="18"/>
                <w:highlight w:val="none"/>
                <w:lang w:eastAsia="ru-RU"/>
              </w:rPr>
              <w:t xml:space="preserve">   </w:t>
            </w:r>
          </w:p>
          <w:p w14:paraId="00000073">
            <w:pPr>
              <w:pStyle w:val="Normal"/>
              <w:spacing w:after="0" w:line="240" w:lineRule="auto"/>
              <w:jc w:val="center"/>
              <w:rPr>
                <w:rFonts w:ascii="&amp;quot" w:eastAsia="Times New Roman" w:hAnsi="&amp;quot" w:hint="default"/>
                <w:color w:val="22272f"/>
                <w:sz w:val="18"/>
                <w:szCs w:val="18"/>
                <w:highlight w:val="none"/>
                <w:lang w:eastAsia="ru-RU"/>
              </w:rPr>
            </w:pPr>
            <w:r>
              <w:rPr>
                <w:rFonts w:ascii="&amp;quot" w:eastAsia="Times New Roman" w:hAnsi="&amp;quot" w:hint="default"/>
                <w:color w:val="22272f"/>
                <w:sz w:val="18"/>
                <w:szCs w:val="18"/>
                <w:highlight w:val="none"/>
                <w:lang w:eastAsia="ru-RU"/>
              </w:rPr>
              <w:t>https://lyambir-rm.ru/newsline/view/6909</w:t>
            </w:r>
          </w:p>
        </w:tc>
      </w:tr>
      <w:tr>
        <w:trPr>
          <w:wAfter w:w="0" w:type="dxa"/>
          <w:cantSplit w:val="off"/>
          <w:trHeight w:val="979" w:hRule="atLeast"/>
        </w:trPr>
        <w:tc>
          <w:tcPr>
            <w:cnfStyle w:val="001000010000"/>
            <w:tcW w:w="6684" w:type="dxa"/>
            <w:shd w:val="clear" w:color="auto" w:fill="auto"/>
          </w:tcPr>
          <w:p w14:paraId="00000074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00000075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  <w:t>Министерство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  <w:t xml:space="preserve"> з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  <w:t xml:space="preserve">емельных 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  <w:t xml:space="preserve">и имущественных 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  <w:t xml:space="preserve">отношений </w:t>
            </w:r>
          </w:p>
          <w:p w14:paraId="00000076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  <w:t>Республики Мордовия</w:t>
            </w:r>
          </w:p>
          <w:p w14:paraId="00000077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16"/>
                <w:szCs w:val="16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cnfStyle w:val="000000010000"/>
            <w:tcW w:w="3098" w:type="dxa"/>
            <w:shd w:val="clear" w:color="auto" w:fill="auto"/>
          </w:tcPr>
          <w:p w14:paraId="00000078">
            <w:pPr>
              <w:pStyle w:val="Normal"/>
              <w:spacing w:after="0" w:line="240" w:lineRule="auto"/>
              <w:rPr>
                <w:rFonts w:hint="default"/>
                <w:lang w:val="en-US"/>
              </w:rPr>
            </w:pPr>
            <w:r>
              <w:rPr>
                <w:rFonts w:hint="default"/>
              </w:rPr>
              <w:t xml:space="preserve">       </w:t>
            </w:r>
          </w:p>
          <w:p w14:paraId="00000079">
            <w:pPr>
              <w:pStyle w:val="Normal"/>
              <w:spacing w:after="0" w:line="240" w:lineRule="auto"/>
              <w:jc w:val="center"/>
              <w:rPr>
                <w:rFonts w:ascii="&amp;quot" w:eastAsia="Times New Roman" w:hAnsi="&amp;quot" w:hint="default"/>
                <w:color w:val="22272f"/>
                <w:sz w:val="18"/>
                <w:szCs w:val="18"/>
                <w:lang w:val="en-US" w:eastAsia="ru-RU"/>
              </w:rPr>
            </w:pPr>
            <w:r>
              <w:rPr>
                <w:rFonts w:ascii="&amp;quot" w:eastAsia="Times New Roman" w:hAnsi="&amp;quot" w:hint="default"/>
                <w:color w:val="22272f"/>
                <w:sz w:val="18"/>
                <w:szCs w:val="18"/>
                <w:lang w:val="en-US" w:eastAsia="ru-RU"/>
              </w:rPr>
              <w:t>https://www.e-mord</w:t>
            </w:r>
            <w:r>
              <w:rPr>
                <w:rFonts w:ascii="&amp;quot" w:eastAsia="Times New Roman" w:hAnsi="&amp;quot" w:hint="default"/>
                <w:color w:val="22272f"/>
                <w:sz w:val="18"/>
                <w:szCs w:val="18"/>
                <w:lang w:val="en-US" w:eastAsia="ru-RU"/>
              </w:rPr>
              <w:t>ovia.r</w:t>
            </w:r>
            <w:r>
              <w:rPr>
                <w:rFonts w:ascii="&amp;quot" w:eastAsia="Times New Roman" w:hAnsi="&amp;quot" w:hint="default"/>
                <w:color w:val="22272f"/>
                <w:sz w:val="18"/>
                <w:szCs w:val="18"/>
                <w:lang w:val="en-US" w:eastAsia="ru-RU"/>
              </w:rPr>
              <w:t>u/gosudarstvennaya-vlast-rm/ministerstva-i-vedomstva/goskomzeml/</w:t>
            </w:r>
          </w:p>
          <w:p w14:paraId="0000007A">
            <w:pPr>
              <w:pStyle w:val="Normal"/>
              <w:spacing w:after="0" w:line="240" w:lineRule="auto"/>
              <w:jc w:val="both"/>
              <w:rPr>
                <w:rFonts w:ascii="&amp;quot" w:eastAsia="Times New Roman" w:hAnsi="&amp;quot" w:hint="default"/>
                <w:color w:val="22272f"/>
                <w:sz w:val="18"/>
                <w:szCs w:val="18"/>
                <w:lang w:eastAsia="ru-RU"/>
              </w:rPr>
            </w:pPr>
          </w:p>
        </w:tc>
      </w:tr>
      <w:tr>
        <w:trPr>
          <w:wAfter w:w="0" w:type="dxa"/>
          <w:cantSplit w:val="off"/>
        </w:trPr>
        <w:tc>
          <w:tcPr>
            <w:cnfStyle w:val="001000100000"/>
            <w:tcW w:w="6684" w:type="dxa"/>
            <w:shd w:val="clear" w:color="auto" w:fill="auto"/>
          </w:tcPr>
          <w:p w14:paraId="0000007B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u w:val="single"/>
                <w:lang w:eastAsia="ru-RU"/>
              </w:rPr>
              <w:t>Управление Росреестра по Республике Мордовия</w:t>
            </w:r>
          </w:p>
          <w:p w14:paraId="0000007C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hint="default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16"/>
                <w:szCs w:val="16"/>
                <w:lang w:eastAsia="ru-RU"/>
              </w:rPr>
              <w:t>(Наимен</w:t>
            </w:r>
            <w:r>
              <w:rPr>
                <w:rFonts w:ascii="Times New Roman" w:eastAsia="Times New Roman" w:hAnsi="Times New Roman" w:hint="default"/>
                <w:color w:val="22272f"/>
                <w:sz w:val="16"/>
                <w:szCs w:val="16"/>
                <w:lang w:eastAsia="ru-RU"/>
              </w:rPr>
              <w:t>ование органа регистрации прав</w:t>
            </w:r>
            <w:r>
              <w:rPr>
                <w:rFonts w:ascii="Times New Roman" w:eastAsia="Times New Roman" w:hAnsi="Times New Roman" w:hint="default"/>
                <w:color w:val="22272f"/>
                <w:sz w:val="16"/>
                <w:szCs w:val="16"/>
                <w:lang w:eastAsia="ru-RU"/>
              </w:rPr>
              <w:t>)</w:t>
            </w:r>
          </w:p>
        </w:tc>
        <w:tc>
          <w:tcPr>
            <w:cnfStyle w:val="000000100000"/>
            <w:tcW w:w="3098" w:type="dxa"/>
            <w:shd w:val="clear" w:color="auto" w:fill="auto"/>
          </w:tcPr>
          <w:p w14:paraId="0000007D">
            <w:pPr>
              <w:pStyle w:val="Normal"/>
              <w:spacing w:after="0" w:line="240" w:lineRule="auto"/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sz w:val="18"/>
                <w:szCs w:val="18"/>
                <w:lang w:eastAsia="ru-RU"/>
              </w:rPr>
              <w:t>https://rosreestr.gov.ru/</w:t>
            </w:r>
          </w:p>
        </w:tc>
      </w:tr>
      <w:tr>
        <w:trPr>
          <w:wAfter w:w="0" w:type="dxa"/>
          <w:cantSplit w:val="off"/>
        </w:trPr>
        <w:tc>
          <w:tcPr>
            <w:cnfStyle w:val="001000010000"/>
            <w:tcW w:w="9782" w:type="dxa"/>
            <w:gridSpan w:val="2"/>
            <w:shd w:val="clear" w:color="auto" w:fill="auto"/>
          </w:tcPr>
          <w:p w14:paraId="0000007E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Заседание согласительной комиссии по вопросу согласовани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я местоположения границ земельных участков, в отношении которых проводятся комплексные кадастровые работы на территории к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адастрового квартала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highlight w:val="none"/>
                <w:lang w:eastAsia="ru-RU"/>
              </w:rPr>
              <w:t>13:15:</w:t>
            </w:r>
            <w:r>
              <w:rPr>
                <w:rFonts w:ascii="Times New Roman" w:eastAsia="Times New Roman" w:hAnsi="Times New Roman" w:hint="default"/>
                <w:color w:val="22272f"/>
                <w:highlight w:val="none"/>
                <w:lang w:eastAsia="ru-RU"/>
              </w:rPr>
              <w:t>0107008</w:t>
            </w:r>
            <w:r>
              <w:rPr>
                <w:rFonts w:ascii="Times New Roman" w:eastAsia="Times New Roman" w:hAnsi="Times New Roman" w:hint="default"/>
                <w:color w:val="22272f"/>
                <w:highlight w:val="non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highlight w:val="none"/>
                <w:lang w:eastAsia="ru-RU"/>
              </w:rPr>
              <w:t xml:space="preserve">состоится по 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highlight w:val="none"/>
                <w:lang w:eastAsia="ru-RU"/>
              </w:rPr>
              <w:t xml:space="preserve">адресу: 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highlight w:val="none"/>
                <w:u w:val="single"/>
                <w:lang w:eastAsia="ru-RU"/>
              </w:rPr>
              <w:t xml:space="preserve">Республика 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highlight w:val="none"/>
                <w:u w:val="single"/>
                <w:lang w:eastAsia="ru-RU"/>
              </w:rPr>
              <w:t xml:space="preserve">Мордовия, 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highlight w:val="none"/>
                <w:u w:val="single"/>
                <w:lang w:eastAsia="ru-RU"/>
              </w:rPr>
              <w:t>Лямбирский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highlight w:val="none"/>
                <w:u w:val="single"/>
                <w:lang w:eastAsia="ru-RU"/>
              </w:rPr>
              <w:t xml:space="preserve"> район, 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с.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 xml:space="preserve"> Берсеневка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, ул.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Советская, д.64-а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(зда</w:t>
            </w:r>
            <w:r>
              <w:rPr>
                <w:rFonts w:ascii="Times New Roman" w:eastAsia="Times New Roman" w:hAnsi="Times New Roman" w:hint="default"/>
                <w:color w:val="22272f"/>
                <w:u w:val="single"/>
                <w:lang w:eastAsia="ru-RU"/>
              </w:rPr>
              <w:t>ние администрации)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u w:val="single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hint="default"/>
                <w:b/>
                <w:bCs/>
                <w:color w:val="22272f"/>
                <w:sz w:val="24"/>
                <w:szCs w:val="24"/>
                <w:highlight w:val="none"/>
                <w:lang w:eastAsia="ru-RU"/>
              </w:rPr>
              <w:t>"18" октября 2024 г. в 11 часов 00 минут.</w:t>
            </w:r>
          </w:p>
          <w:p w14:paraId="0000007F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00000080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b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Обосно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hint="default"/>
                <w:b/>
                <w:color w:val="22272f"/>
                <w:sz w:val="24"/>
                <w:szCs w:val="24"/>
                <w:lang w:eastAsia="ru-RU"/>
              </w:rPr>
              <w:t>с "21" августа 2024 г. по "11" сентября 2024 г., (первое (орган</w:t>
            </w:r>
            <w:r>
              <w:rPr>
                <w:rFonts w:ascii="Times New Roman" w:eastAsia="Times New Roman" w:hAnsi="Times New Roman" w:hint="default"/>
                <w:b/>
                <w:color w:val="22272f"/>
                <w:sz w:val="24"/>
                <w:szCs w:val="24"/>
                <w:lang w:eastAsia="ru-RU"/>
              </w:rPr>
              <w:t>изационное) заседание состоится 12 сентября 2024 г. в 11 ч. 00 мин. (здание администрации)  и  с "12" сентября 2024 г.  по "17" октября 2024 г.</w:t>
            </w:r>
          </w:p>
          <w:p w14:paraId="00000081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b/>
                <w:color w:val="22272f"/>
                <w:sz w:val="24"/>
                <w:szCs w:val="24"/>
                <w:lang w:eastAsia="ru-RU"/>
              </w:rPr>
            </w:pPr>
          </w:p>
          <w:p w14:paraId="00000082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 xml:space="preserve">Возражения оформляются в соответствии с </w:t>
            </w:r>
            <w:r>
              <w:fldChar w:fldCharType="begin"/>
            </w:r>
            <w:r>
              <w:instrText xml:space="preserve"> HYPERLINK "https://internet.garant.ru/" \l "/document/12154874/entry/149" </w:instrText>
            </w:r>
            <w:r>
              <w:fldChar w:fldCharType="separate"/>
            </w:r>
            <w:r>
              <w:rPr>
                <w:rFonts w:ascii="Times New Roman" w:eastAsia="Times New Roman" w:hAnsi="Times New Roman" w:hint="default"/>
                <w:sz w:val="24"/>
                <w:szCs w:val="24"/>
                <w:lang w:eastAsia="ru-RU"/>
              </w:rPr>
              <w:t>частью 15 статьи 42.10</w:t>
            </w:r>
            <w:r>
              <w:fldChar w:fldCharType="end"/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 xml:space="preserve"> Федераль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ного закона от 24 июля 2007 г. № 221-ФЗ «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О госуда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рственном кадастре недвижимости»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 xml:space="preserve"> и включают в себя сведения о лице, направившем данное возражение, в том числе фамилию, имя и (при наличии) отчество, а также адрес прав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</w:p>
          <w:p w14:paraId="00000083">
            <w:pPr>
              <w:pStyle w:val="Normal"/>
              <w:spacing w:after="0" w:line="240" w:lineRule="auto"/>
              <w:jc w:val="both"/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В случае отсутствия таких возражений местоположение границ зем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ельных участков считается согласованным.</w:t>
            </w:r>
          </w:p>
          <w:p w14:paraId="00000084">
            <w:pPr>
              <w:pStyle w:val="Normal"/>
              <w:spacing w:after="0" w:line="240" w:lineRule="auto"/>
              <w:jc w:val="right"/>
              <w:rPr>
                <w:rFonts w:ascii="&amp;quot" w:eastAsia="Times New Roman" w:hAnsi="&amp;quot" w:hint="defaul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21.08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>.2024</w:t>
            </w:r>
            <w:r>
              <w:rPr>
                <w:rFonts w:ascii="Times New Roman" w:eastAsia="Times New Roman" w:hAnsi="Times New Roman" w:hint="default"/>
                <w:color w:val="22272f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14:paraId="00000085"/>
    <w:p w14:paraId="00000086"/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/>
    <w:p w14:paraId="00000090"/>
    <w:p w14:paraId="00000091"/>
    <w:p w14:paraId="00000092"/>
    <w:p w14:paraId="00000093"/>
    <w:p w14:paraId="00000094"/>
    <w:p w14:paraId="00000095"/>
    <w:p w14:paraId="00000096"/>
    <w:p w14:paraId="00000097"/>
    <w:p w14:paraId="00000098"/>
    <w:p w14:paraId="00000099"/>
    <w:p w14:paraId="0000009A"/>
    <w:p w14:paraId="0000009B"/>
    <w:p w14:paraId="0000009C"/>
    <w:p w14:paraId="0000009D"/>
    <w:p w14:paraId="0000009E"/>
    <w:p w14:paraId="0000009F"/>
    <w:p w14:paraId="000000A0"/>
    <w:p w14:paraId="000000A1"/>
    <w:p w14:paraId="000000A2"/>
    <w:p w14:paraId="000000A3"/>
    <w:p w14:paraId="000000A4"/>
    <w:p w14:paraId="000000A5"/>
    <w:p w14:paraId="000000A6"/>
    <w:p w14:paraId="000000A7"/>
    <w:p w14:paraId="000000A8"/>
    <w:p w14:paraId="000000A9"/>
    <w:p w14:paraId="000000AA"/>
    <w:p w14:paraId="000000AB"/>
    <w:p w14:paraId="000000AC"/>
    <w:p w14:paraId="000000AD"/>
    <w:p w14:paraId="000000AE"/>
    <w:p w14:paraId="000000AF"/>
    <w:p w14:paraId="000000B0"/>
    <w:p w14:paraId="000000B1"/>
    <w:p w14:paraId="000000B2"/>
    <w:p w14:paraId="000000B3"/>
    <w:p w14:paraId="000000B4"/>
    <w:p w14:paraId="000000B5"/>
    <w:p w14:paraId="000000B6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14:paraId="000000B7">
      <w:pPr>
        <w:jc w:val="center"/>
        <w:rPr>
          <w:sz w:val="32"/>
          <w:szCs w:val="32"/>
          <w:u w:val="single"/>
        </w:rPr>
      </w:pPr>
    </w:p>
    <w:p w14:paraId="000000B8">
      <w:pPr>
        <w:jc w:val="center"/>
        <w:rPr>
          <w:sz w:val="32"/>
          <w:szCs w:val="32"/>
        </w:rPr>
      </w:pPr>
    </w:p>
    <w:p w14:paraId="000000B9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14:paraId="000000BA">
      <w:pPr>
        <w:jc w:val="both"/>
        <w:rPr>
          <w:sz w:val="32"/>
          <w:szCs w:val="32"/>
        </w:rPr>
      </w:pPr>
    </w:p>
    <w:p w14:paraId="000000BB"/>
    <w:p w14:paraId="000000BC"/>
    <w:sectPr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&amp;quot">
    <w:altName w:val="Times New Roman"/>
    <w:panose1 w:val="00000000000000000000"/>
    <w:charset w:val="00"/>
    <w:family w:val="roman"/>
    <w:notTrueType w:val="o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474C4C"/>
    <w:rsid w:val="007D17EA"/>
    <w:rsid w:val="007D6A25"/>
    <w:rsid w:val="009415AF"/>
    <w:rsid w:val="00C5507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2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