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Arial" w:hAnsi="Arial" w:eastAsia="Times New Roman" w:cs="Arial"/>
          <w:color w:val="000000"/>
          <w:sz w:val="24"/>
          <w:szCs w:val="24"/>
        </w:rPr>
      </w:pPr>
      <w:r>
        <w:rPr>
          <w:rFonts w:eastAsia="Times New Roman" w:cs="Arial" w:ascii="Arial" w:hAnsi="Arial"/>
          <w:color w:val="000000"/>
          <w:sz w:val="24"/>
          <w:szCs w:val="24"/>
        </w:rPr>
        <w:t xml:space="preserve">                                                                                                                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Arial" w:hAnsi="Arial" w:eastAsia="Times New Roman" w:cs="Arial"/>
          <w:color w:val="000000"/>
          <w:sz w:val="24"/>
          <w:szCs w:val="24"/>
        </w:rPr>
      </w:pPr>
      <w:r>
        <w:rPr>
          <w:rFonts w:eastAsia="Times New Roman" w:cs="Arial" w:ascii="Arial" w:hAnsi="Arial"/>
          <w:color w:val="000000"/>
          <w:sz w:val="24"/>
          <w:szCs w:val="24"/>
        </w:rPr>
      </w:r>
    </w:p>
    <w:p>
      <w:pPr>
        <w:pStyle w:val="Style21"/>
        <w:rPr>
          <w:szCs w:val="28"/>
        </w:rPr>
      </w:pPr>
      <w:r>
        <w:rPr>
          <w:szCs w:val="28"/>
        </w:rPr>
        <w:t>СОВЕТ ДЕПУТАТОВ АКСЕНОВСКОГО СЕЛЬСКОГО ПОСЕЛЕНИЯ</w:t>
      </w:r>
    </w:p>
    <w:p>
      <w:pPr>
        <w:pStyle w:val="Style21"/>
        <w:rPr>
          <w:szCs w:val="28"/>
        </w:rPr>
      </w:pPr>
      <w:r>
        <w:rPr>
          <w:szCs w:val="28"/>
        </w:rPr>
        <w:t xml:space="preserve">ЛЯМБИРСКОГО МУНИЦИПАЛЬНОГО РАЙОНА  </w:t>
      </w:r>
    </w:p>
    <w:p>
      <w:pPr>
        <w:pStyle w:val="Style21"/>
        <w:rPr>
          <w:szCs w:val="28"/>
        </w:rPr>
      </w:pPr>
      <w:r>
        <w:rPr>
          <w:szCs w:val="28"/>
        </w:rPr>
        <w:t>РЕСПУБЛИКИ МОРДОВИЯ</w:t>
      </w:r>
    </w:p>
    <w:p>
      <w:pPr>
        <w:pStyle w:val="Style21"/>
        <w:spacing w:lineRule="auto" w:line="360"/>
        <w:rPr>
          <w:b w:val="false"/>
          <w:b w:val="false"/>
          <w:szCs w:val="28"/>
        </w:rPr>
      </w:pPr>
      <w:r>
        <w:rPr>
          <w:b w:val="false"/>
          <w:szCs w:val="28"/>
        </w:rPr>
      </w:r>
    </w:p>
    <w:p>
      <w:pPr>
        <w:pStyle w:val="Style21"/>
        <w:spacing w:lineRule="auto" w:line="360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sz w:val="28"/>
          <w:szCs w:val="28"/>
        </w:rPr>
        <w:t>22</w:t>
      </w:r>
      <w:r>
        <w:rPr>
          <w:rFonts w:cs="Times New Roman" w:ascii="Times New Roman" w:hAnsi="Times New Roman"/>
          <w:sz w:val="28"/>
          <w:szCs w:val="28"/>
        </w:rPr>
        <w:t>.0</w:t>
      </w:r>
      <w:r>
        <w:rPr>
          <w:rFonts w:cs="Times New Roman" w:ascii="Times New Roman" w:hAnsi="Times New Roman"/>
          <w:sz w:val="28"/>
          <w:szCs w:val="28"/>
        </w:rPr>
        <w:t>5</w:t>
      </w:r>
      <w:r>
        <w:rPr>
          <w:rFonts w:cs="Times New Roman" w:ascii="Times New Roman" w:hAnsi="Times New Roman"/>
          <w:sz w:val="28"/>
          <w:szCs w:val="28"/>
        </w:rPr>
        <w:t>. 2025 года                                                                                №</w:t>
      </w:r>
      <w:r>
        <w:rPr>
          <w:rFonts w:cs="Times New Roman" w:ascii="Times New Roman" w:hAnsi="Times New Roman"/>
          <w:sz w:val="28"/>
          <w:szCs w:val="28"/>
        </w:rPr>
        <w:t>75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с. Аксеново</w:t>
      </w:r>
    </w:p>
    <w:p>
      <w:pPr>
        <w:pStyle w:val="Normal"/>
        <w:spacing w:lineRule="auto" w:line="240" w:before="0" w:after="0"/>
        <w:ind w:right="284" w:hanging="0"/>
        <w:jc w:val="center"/>
        <w:rPr>
          <w:rFonts w:ascii="Times New Roman" w:hAnsi="Times New Roman" w:eastAsia="Times New Roman" w:cs="Times New Roman"/>
          <w:b/>
          <w:b/>
          <w:sz w:val="28"/>
          <w:szCs w:val="24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>О внесении изменений в решение Совета депутатов Аксеновского сельсовета Лямбирского района от 18 октября 2005 года № 38 (</w:t>
      </w:r>
      <w:r>
        <w:rPr>
          <w:rFonts w:eastAsia="Times New Roman" w:cs="Times New Roman" w:ascii="Times New Roman" w:hAnsi="Times New Roman"/>
          <w:b/>
          <w:sz w:val="28"/>
          <w:szCs w:val="24"/>
        </w:rPr>
        <w:t>с изменениями от 28.10.2008г. № 41,от 27.12.2013г. № 75, от 19.05.2015г.           № 125,от 28.12.2015г.№ 141,от 24.02.2016г.№145,от 10.07.2018г. № 55,от 18.10.20219г. №87) «Об установлении земельного налога на территории Аксеновского сельсовета Лямбирского района»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Arial" w:hAnsi="Arial" w:eastAsia="Times New Roman" w:cs="Arial"/>
          <w:color w:val="000000"/>
          <w:sz w:val="24"/>
          <w:szCs w:val="24"/>
        </w:rPr>
      </w:pPr>
      <w:r>
        <w:rPr>
          <w:rFonts w:eastAsia="Times New Roman" w:cs="Arial" w:ascii="Arial" w:hAnsi="Arial"/>
          <w:color w:val="000000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Arial" w:hAnsi="Arial" w:eastAsia="Times New Roman" w:cs="Arial"/>
          <w:color w:val="000000"/>
          <w:sz w:val="24"/>
          <w:szCs w:val="24"/>
        </w:rPr>
      </w:pPr>
      <w:r>
        <w:rPr>
          <w:rFonts w:eastAsia="Times New Roman" w:cs="Arial" w:ascii="Arial" w:hAnsi="Arial"/>
          <w:color w:val="000000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 целях приведения в соответствие с Налоговым кодексом Российской Федерации, правовых актов органов местного самоуправления Аксеновского сельского поселения Лямбирского муниципального района Республики Мордовия, Совет депутатов Аксеновского сельского поселения Лямбирского муниципального района</w:t>
      </w:r>
    </w:p>
    <w:p>
      <w:pPr>
        <w:pStyle w:val="Normal"/>
        <w:shd w:val="clear" w:color="auto" w:fill="FFFFFF"/>
        <w:spacing w:lineRule="auto" w:line="240" w:before="0" w:after="0"/>
        <w:ind w:hanging="0"/>
        <w:jc w:val="both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                                                                    </w:t>
      </w: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Решил: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</w:rPr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1.    Внести </w:t>
      </w:r>
      <w:r>
        <w:rPr>
          <w:rFonts w:cs="Times New Roman" w:ascii="Times New Roman" w:hAnsi="Times New Roman"/>
          <w:sz w:val="28"/>
          <w:szCs w:val="28"/>
        </w:rPr>
        <w:t>в решение Совета депутатов Аксеновского сельского поселения Лямбирского муниципального района от 18.10.2005 № 38 «Об установлении земельного налога на территории Аксеновского сельского поселения Лямбирского муниципального района Республики Мордовия» следующие изменения:</w:t>
      </w:r>
    </w:p>
    <w:p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пункт 2. Изложить в новой редакции</w:t>
      </w:r>
    </w:p>
    <w:p>
      <w:pPr>
        <w:pStyle w:val="Normal"/>
        <w:shd w:val="clear" w:color="auto" w:fill="FFFFFF"/>
        <w:spacing w:lineRule="auto" w:line="240" w:before="0" w:after="0"/>
        <w:ind w:hanging="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</w:rPr>
        <w:t xml:space="preserve">  </w:t>
      </w:r>
      <w:r>
        <w:rPr>
          <w:rFonts w:eastAsia="Times New Roman" w:cs="Times New Roman" w:ascii="Times New Roman" w:hAnsi="Times New Roman"/>
          <w:color w:val="333333"/>
          <w:sz w:val="28"/>
          <w:szCs w:val="28"/>
        </w:rPr>
        <w:t xml:space="preserve">2.  Установить налоговые ставки земельного налога в размере: </w:t>
      </w:r>
    </w:p>
    <w:p>
      <w:pPr>
        <w:pStyle w:val="Normal"/>
        <w:ind w:firstLine="540"/>
        <w:jc w:val="both"/>
        <w:rPr/>
      </w:pPr>
      <w:r>
        <w:rPr>
          <w:rFonts w:ascii="Times New Roman" w:hAnsi="Times New Roman"/>
          <w:b/>
          <w:sz w:val="28"/>
          <w:szCs w:val="28"/>
        </w:rPr>
        <w:t>0,3 процента в отношении земельных участков:</w:t>
      </w:r>
    </w:p>
    <w:p>
      <w:pPr>
        <w:pStyle w:val="Normal"/>
        <w:ind w:firstLine="540"/>
        <w:jc w:val="both"/>
        <w:rPr/>
      </w:pPr>
      <w:r>
        <w:rPr>
          <w:rFonts w:ascii="Times New Roman" w:hAnsi="Times New Roman"/>
          <w:sz w:val="28"/>
          <w:szCs w:val="28"/>
        </w:rPr>
        <w:t>- 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>
      <w:pPr>
        <w:pStyle w:val="Normal"/>
        <w:ind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-  занятых </w:t>
      </w:r>
      <w:hyperlink r:id="rId2">
        <w:r>
          <w:rPr>
            <w:rFonts w:ascii="Times New Roman" w:hAnsi="Times New Roman"/>
            <w:color w:val="000000"/>
            <w:sz w:val="28"/>
            <w:szCs w:val="28"/>
          </w:rPr>
          <w:t>жилищным фондом</w:t>
        </w:r>
      </w:hyperlink>
      <w:r>
        <w:rPr>
          <w:rFonts w:ascii="Times New Roman" w:hAnsi="Times New Roman"/>
          <w:sz w:val="28"/>
          <w:szCs w:val="28"/>
        </w:rPr>
        <w:t xml:space="preserve"> и (или) объектами инженерной инфраструктуры жилищно-коммунального комплекса (за исключением </w:t>
      </w:r>
      <w:hyperlink r:id="rId3">
        <w:r>
          <w:rPr>
            <w:rFonts w:ascii="Times New Roman" w:hAnsi="Times New Roman"/>
            <w:color w:val="000000"/>
            <w:sz w:val="28"/>
            <w:szCs w:val="28"/>
          </w:rPr>
          <w:t>части</w:t>
        </w:r>
      </w:hyperlink>
      <w:r>
        <w:rPr>
          <w:rFonts w:ascii="Times New Roman" w:hAnsi="Times New Roman"/>
          <w:sz w:val="28"/>
          <w:szCs w:val="28"/>
        </w:rPr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 из которых превышает 300 миллионов рублей;</w:t>
      </w:r>
    </w:p>
    <w:p>
      <w:pPr>
        <w:pStyle w:val="Style22"/>
        <w:tabs>
          <w:tab w:val="clear" w:pos="708"/>
          <w:tab w:val="left" w:pos="709" w:leader="none"/>
          <w:tab w:val="left" w:pos="851" w:leader="none"/>
        </w:tabs>
        <w:spacing w:lineRule="atLeast" w:line="288" w:before="0" w:after="0"/>
        <w:ind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4">
        <w:r>
          <w:rPr>
            <w:rFonts w:ascii="Times New Roman" w:hAnsi="Times New Roman"/>
            <w:color w:val="000000"/>
            <w:sz w:val="28"/>
            <w:szCs w:val="28"/>
          </w:rPr>
          <w:t>личного подсобного хозяйства</w:t>
        </w:r>
      </w:hyperlink>
      <w:r>
        <w:rPr>
          <w:rFonts w:ascii="Times New Roman" w:hAnsi="Times New Roman"/>
          <w:sz w:val="28"/>
          <w:szCs w:val="28"/>
        </w:rPr>
        <w:t xml:space="preserve">, садоводства или огородничества, а также земельных </w:t>
      </w:r>
      <w:hyperlink r:id="rId5">
        <w:r>
          <w:rPr>
            <w:rFonts w:ascii="Times New Roman" w:hAnsi="Times New Roman"/>
            <w:color w:val="000000"/>
            <w:sz w:val="28"/>
            <w:szCs w:val="28"/>
          </w:rPr>
          <w:t>участков общего назначения</w:t>
        </w:r>
      </w:hyperlink>
      <w:r>
        <w:rPr>
          <w:rFonts w:ascii="Times New Roman" w:hAnsi="Times New Roman"/>
          <w:sz w:val="28"/>
          <w:szCs w:val="28"/>
        </w:rPr>
        <w:t xml:space="preserve">, предусмотренных Федеральным </w:t>
      </w:r>
      <w:hyperlink r:id="rId6">
        <w:r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>
        <w:rPr>
          <w:rFonts w:ascii="Times New Roman" w:hAnsi="Times New Roman"/>
          <w:sz w:val="28"/>
          <w:szCs w:val="28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за исключением указанных в настоящем абзаце земельных участков, кадастровая стоимость каждого из которых превышает 300 миллионов рублей;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7">
        <w:r>
          <w:rPr>
            <w:rFonts w:ascii="Times New Roman" w:hAnsi="Times New Roman"/>
            <w:color w:val="000000"/>
            <w:sz w:val="28"/>
            <w:szCs w:val="28"/>
            <w:u w:val="none"/>
          </w:rPr>
          <w:t>ограниченных</w:t>
        </w:r>
      </w:hyperlink>
      <w:r>
        <w:rPr>
          <w:rFonts w:ascii="Times New Roman" w:hAnsi="Times New Roman"/>
          <w:sz w:val="28"/>
          <w:szCs w:val="28"/>
        </w:rPr>
        <w:t xml:space="preserve"> в обороте в соответствии с </w:t>
      </w:r>
      <w:hyperlink r:id="rId8">
        <w:r>
          <w:rPr>
            <w:rFonts w:ascii="Times New Roman" w:hAnsi="Times New Roman"/>
            <w:color w:val="000000"/>
            <w:sz w:val="28"/>
            <w:szCs w:val="28"/>
            <w:u w:val="none"/>
          </w:rPr>
          <w:t>законодательством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Федерации, предоставленных для обеспечения </w:t>
      </w:r>
      <w:hyperlink r:id="rId9">
        <w:r>
          <w:rPr>
            <w:rFonts w:ascii="Times New Roman" w:hAnsi="Times New Roman"/>
            <w:color w:val="000000"/>
            <w:sz w:val="28"/>
            <w:szCs w:val="28"/>
            <w:u w:val="none"/>
          </w:rPr>
          <w:t>обороны</w:t>
        </w:r>
      </w:hyperlink>
      <w:r>
        <w:rPr>
          <w:rFonts w:ascii="Times New Roman" w:hAnsi="Times New Roman"/>
          <w:sz w:val="28"/>
          <w:szCs w:val="28"/>
        </w:rPr>
        <w:t>, безопасности и таможенных нужд.</w:t>
      </w:r>
    </w:p>
    <w:p>
      <w:pPr>
        <w:pStyle w:val="Normal"/>
        <w:ind w:firstLine="540"/>
        <w:jc w:val="both"/>
        <w:rPr/>
      </w:pPr>
      <w:r>
        <w:rPr>
          <w:rFonts w:ascii="Times New Roman" w:hAnsi="Times New Roman"/>
          <w:b/>
          <w:sz w:val="28"/>
          <w:szCs w:val="28"/>
        </w:rPr>
        <w:t>1,5 процента в отношении земельных участков:</w:t>
      </w:r>
    </w:p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</w:rPr>
        <w:t xml:space="preserve">-  занятых </w:t>
      </w:r>
      <w:hyperlink r:id="rId10">
        <w:r>
          <w:rPr>
            <w:rFonts w:ascii="Times New Roman" w:hAnsi="Times New Roman"/>
            <w:color w:val="000000"/>
            <w:sz w:val="28"/>
            <w:szCs w:val="28"/>
          </w:rPr>
          <w:t>жилищным фондом</w:t>
        </w:r>
      </w:hyperlink>
      <w:r>
        <w:rPr>
          <w:rFonts w:ascii="Times New Roman" w:hAnsi="Times New Roman"/>
          <w:sz w:val="28"/>
          <w:szCs w:val="28"/>
        </w:rPr>
        <w:t xml:space="preserve"> и (или) объектами инженерной инфраструктуры жилищно-коммунального комплекса (за исключением </w:t>
      </w:r>
      <w:hyperlink r:id="rId11">
        <w:r>
          <w:rPr>
            <w:rFonts w:ascii="Times New Roman" w:hAnsi="Times New Roman"/>
            <w:color w:val="000000"/>
            <w:sz w:val="28"/>
            <w:szCs w:val="28"/>
          </w:rPr>
          <w:t>части</w:t>
        </w:r>
      </w:hyperlink>
      <w:r>
        <w:rPr>
          <w:rFonts w:ascii="Times New Roman" w:hAnsi="Times New Roman"/>
          <w:sz w:val="28"/>
          <w:szCs w:val="28"/>
        </w:rPr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 за исключением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каждого, из которых превышает  300 миллионов рублей;</w:t>
      </w:r>
    </w:p>
    <w:p>
      <w:pPr>
        <w:pStyle w:val="NormalWeb"/>
        <w:tabs>
          <w:tab w:val="clear" w:pos="708"/>
          <w:tab w:val="left" w:pos="709" w:leader="none"/>
          <w:tab w:val="left" w:pos="851" w:leader="none"/>
        </w:tabs>
        <w:spacing w:lineRule="atLeast" w:line="288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12">
        <w:r>
          <w:rPr>
            <w:color w:val="000000"/>
            <w:sz w:val="28"/>
            <w:szCs w:val="28"/>
          </w:rPr>
          <w:t>личного подсобного хозяйства</w:t>
        </w:r>
      </w:hyperlink>
      <w:r>
        <w:rPr>
          <w:sz w:val="28"/>
          <w:szCs w:val="28"/>
        </w:rPr>
        <w:t xml:space="preserve">, садоводства или огородничества, а также земельных </w:t>
      </w:r>
      <w:hyperlink r:id="rId13">
        <w:r>
          <w:rPr>
            <w:color w:val="000000"/>
            <w:sz w:val="28"/>
            <w:szCs w:val="28"/>
          </w:rPr>
          <w:t>участков общего назначения</w:t>
        </w:r>
      </w:hyperlink>
      <w:r>
        <w:rPr>
          <w:sz w:val="28"/>
          <w:szCs w:val="28"/>
        </w:rPr>
        <w:t xml:space="preserve">, предусмотренных Федеральным </w:t>
      </w:r>
      <w:hyperlink r:id="rId14">
        <w:r>
          <w:rPr>
            <w:color w:val="000000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за исключением указанных в настоящем абзаце земельных участков, кадастровая стоимость каждого, из которых превышает 300  миллионов рублей; </w:t>
      </w:r>
    </w:p>
    <w:p>
      <w:pPr>
        <w:pStyle w:val="NormalWeb"/>
        <w:tabs>
          <w:tab w:val="clear" w:pos="708"/>
          <w:tab w:val="left" w:pos="709" w:leader="none"/>
          <w:tab w:val="left" w:pos="851" w:leader="none"/>
        </w:tabs>
        <w:spacing w:lineRule="atLeast" w:line="288" w:before="0" w:after="0"/>
        <w:jc w:val="both"/>
        <w:rPr/>
      </w:pPr>
      <w:r>
        <w:rPr/>
      </w:r>
    </w:p>
    <w:p>
      <w:pPr>
        <w:pStyle w:val="Normal"/>
        <w:shd w:val="clear" w:color="auto" w:fill="FFFFFF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</w:rPr>
        <w:t>- отношение прочих земельных участков.</w:t>
      </w:r>
    </w:p>
    <w:p>
      <w:pPr>
        <w:pStyle w:val="Normal"/>
        <w:shd w:val="clear" w:color="auto" w:fill="FFFFFF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ind w:firstLine="540"/>
        <w:jc w:val="both"/>
        <w:rPr>
          <w:rFonts w:ascii="Times New Roman" w:hAnsi="Times New Roman"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333333"/>
          <w:sz w:val="28"/>
          <w:szCs w:val="28"/>
        </w:rPr>
        <w:t>3. Настоящее решение вступает в силу со дня его официального опубликования  в Информационном бюллетени Аксеновского сельского поселения Лямбирского муниципального района Республики Мордовия и на сайте органов местного самоуправления Лямбирского муниципального района  Республики Мордовия и распространяет свое действие на правоотношения, связанные с исчислением земельного налога с 01 января 2025 года.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hanging="0"/>
        <w:outlineLvl w:val="2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hanging="0"/>
        <w:outlineLvl w:val="2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hanging="0"/>
        <w:outlineLvl w:val="2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hanging="0"/>
        <w:outlineLvl w:val="2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hanging="0"/>
        <w:outlineLvl w:val="2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hanging="0"/>
        <w:outlineLvl w:val="2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hanging="0"/>
        <w:outlineLvl w:val="2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 xml:space="preserve">Глава Аксеновского 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ind w:left="0" w:hanging="0"/>
        <w:outlineLvl w:val="2"/>
        <w:rPr>
          <w:rFonts w:ascii="Times New Roman" w:hAnsi="Times New Roman" w:eastAsia="Times New Roman" w:cs="Times New Roman"/>
          <w:b/>
          <w:b/>
          <w:bCs/>
          <w:color w:val="333333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сельского поселения                                                                  С.Р.Абдрашитова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333333"/>
          <w:sz w:val="28"/>
          <w:szCs w:val="28"/>
        </w:rPr>
      </w:pPr>
      <w:r>
        <w:rPr>
          <w:rFonts w:eastAsia="Times New Roman" w:cs="Times New Roman" w:ascii="Times New Roman" w:hAnsi="Times New Roman"/>
          <w:color w:val="333333"/>
          <w:sz w:val="28"/>
          <w:szCs w:val="28"/>
        </w:rPr>
        <w:t> </w:t>
      </w:r>
    </w:p>
    <w:p>
      <w:pPr>
        <w:pStyle w:val="Normal"/>
        <w:spacing w:before="0" w:after="20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276" w:right="566" w:gutter="0" w:header="0" w:top="709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3">
    <w:name w:val="Heading 3"/>
    <w:basedOn w:val="Normal"/>
    <w:link w:val="31"/>
    <w:uiPriority w:val="9"/>
    <w:qFormat/>
    <w:rsid w:val="00e5488c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uiPriority w:val="9"/>
    <w:qFormat/>
    <w:rsid w:val="00e5488c"/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Style13">
    <w:name w:val="Интернет-ссылка"/>
    <w:basedOn w:val="DefaultParagraphFont"/>
    <w:uiPriority w:val="99"/>
    <w:semiHidden/>
    <w:unhideWhenUsed/>
    <w:rsid w:val="00e5488c"/>
    <w:rPr>
      <w:color w:val="0000FF"/>
      <w:u w:val="single"/>
    </w:rPr>
  </w:style>
  <w:style w:type="character" w:styleId="Style14" w:customStyle="1">
    <w:name w:val="Название Знак"/>
    <w:basedOn w:val="DefaultParagraphFont"/>
    <w:qFormat/>
    <w:rsid w:val="00494cfc"/>
    <w:rPr>
      <w:rFonts w:ascii="Times New Roman" w:hAnsi="Times New Roman" w:eastAsia="Times New Roman" w:cs="Times New Roman"/>
      <w:b/>
      <w:sz w:val="28"/>
      <w:szCs w:val="20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e42188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NormalWeb">
    <w:name w:val="Normal (Web)"/>
    <w:basedOn w:val="Normal"/>
    <w:uiPriority w:val="99"/>
    <w:semiHidden/>
    <w:unhideWhenUsed/>
    <w:qFormat/>
    <w:rsid w:val="00e5488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onsplusnormal" w:customStyle="1">
    <w:name w:val="consplusnormal"/>
    <w:basedOn w:val="Normal"/>
    <w:qFormat/>
    <w:rsid w:val="00e5488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1">
    <w:name w:val="Title"/>
    <w:basedOn w:val="Normal"/>
    <w:link w:val="Style14"/>
    <w:qFormat/>
    <w:rsid w:val="00494cfc"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NoSpacing">
    <w:name w:val="No Spacing"/>
    <w:uiPriority w:val="1"/>
    <w:qFormat/>
    <w:rsid w:val="00e42188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e4218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Обычный (веб)"/>
    <w:basedOn w:val="Normal"/>
    <w:qFormat/>
    <w:pPr>
      <w:spacing w:before="280" w:after="28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login.consultant.ru/link/?req=doc&amp;base=LAW&amp;n=466787&amp;dst=100149&amp;field=134&amp;date=08.10.2024" TargetMode="External"/><Relationship Id="rId3" Type="http://schemas.openxmlformats.org/officeDocument/2006/relationships/hyperlink" Target="https://login.consultant.ru/link/?req=doc&amp;base=LAW&amp;n=466786&amp;dst=100005&amp;field=134&amp;date=08.10.2024" TargetMode="External"/><Relationship Id="rId4" Type="http://schemas.openxmlformats.org/officeDocument/2006/relationships/hyperlink" Target="https://login.consultant.ru/link/?req=doc&amp;base=LAW&amp;n=454116&amp;dst=100022&amp;field=134&amp;date=08.10.2024" TargetMode="External"/><Relationship Id="rId5" Type="http://schemas.openxmlformats.org/officeDocument/2006/relationships/hyperlink" Target="https://login.consultant.ru/link/?req=doc&amp;base=LAW&amp;n=412647&amp;dst=100011&amp;field=134&amp;date=08.10.2024" TargetMode="External"/><Relationship Id="rId6" Type="http://schemas.openxmlformats.org/officeDocument/2006/relationships/hyperlink" Target="https://login.consultant.ru/link/?req=doc&amp;base=LAW&amp;n=481366&amp;date=08.10.2024" TargetMode="External"/><Relationship Id="rId7" Type="http://schemas.openxmlformats.org/officeDocument/2006/relationships/hyperlink" Target="https://login.consultant.ru/link/?req=doc&amp;base=LAW&amp;n=445436&amp;dst=100019&amp;field=134&amp;date=17.10.2023" TargetMode="External"/><Relationship Id="rId8" Type="http://schemas.openxmlformats.org/officeDocument/2006/relationships/hyperlink" Target="https://login.consultant.ru/link/?req=doc&amp;base=LAW&amp;n=452764&amp;dst=100225&amp;field=134&amp;date=17.10.2023" TargetMode="External"/><Relationship Id="rId9" Type="http://schemas.openxmlformats.org/officeDocument/2006/relationships/hyperlink" Target="https://login.consultant.ru/link/?req=doc&amp;base=LAW&amp;n=459571&amp;dst=100019&amp;field=134&amp;date=17.10.2023" TargetMode="External"/><Relationship Id="rId10" Type="http://schemas.openxmlformats.org/officeDocument/2006/relationships/hyperlink" Target="https://login.consultant.ru/link/?req=doc&amp;base=LAW&amp;n=466787&amp;dst=100149&amp;field=134&amp;date=08.10.2024" TargetMode="External"/><Relationship Id="rId11" Type="http://schemas.openxmlformats.org/officeDocument/2006/relationships/hyperlink" Target="https://login.consultant.ru/link/?req=doc&amp;base=LAW&amp;n=466786&amp;dst=100005&amp;field=134&amp;date=08.10.2024" TargetMode="External"/><Relationship Id="rId12" Type="http://schemas.openxmlformats.org/officeDocument/2006/relationships/hyperlink" Target="https://login.consultant.ru/link/?req=doc&amp;base=LAW&amp;n=454116&amp;dst=100022&amp;field=134&amp;date=08.10.2024" TargetMode="External"/><Relationship Id="rId13" Type="http://schemas.openxmlformats.org/officeDocument/2006/relationships/hyperlink" Target="https://login.consultant.ru/link/?req=doc&amp;base=LAW&amp;n=412647&amp;dst=100011&amp;field=134&amp;date=08.10.2024" TargetMode="External"/><Relationship Id="rId14" Type="http://schemas.openxmlformats.org/officeDocument/2006/relationships/hyperlink" Target="https://login.consultant.ru/link/?req=doc&amp;base=LAW&amp;n=481366&amp;date=08.10.2024" TargetMode="Externa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Application>LibreOffice/7.3.7.2$Windows_X86_64 LibreOffice_project/e114eadc50a9ff8d8c8a0567d6da8f454beeb84f</Application>
  <AppVersion>15.0000</AppVersion>
  <Pages>3</Pages>
  <Words>531</Words>
  <Characters>4026</Characters>
  <CharactersWithSpaces>4915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2019-11-29T13:53:00Z</dcterms:created>
  <dc:creator>Кривозерье</dc:creator>
  <dc:description/>
  <dc:language>ru-RU</dc:language>
  <cp:lastModifiedBy/>
  <cp:lastPrinted>2019-12-05T12:44:00Z</cp:lastPrinted>
  <dcterms:modified xsi:type="dcterms:W3CDTF">2025-05-22T08:57:05Z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