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Напоминаем об основных факторах, влияющих на размер будущей пенсии человека.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p>
      <w:pPr>
        <w:pStyle w:val="Style12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-34290</wp:posOffset>
            </wp:positionH>
            <wp:positionV relativeFrom="paragraph">
              <wp:posOffset>169545</wp:posOffset>
            </wp:positionV>
            <wp:extent cx="3331210" cy="249872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10</Words>
  <Characters>67</Characters>
  <CharactersWithSpaces>77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2018-03-12T14:15:25Z</dcterms:created>
  <dc:creator/>
  <dc:description/>
  <dc:language>ru-RU</dc:language>
  <cp:lastModifiedBy/>
  <cp:lastPrinted>2018-03-22T12:20:55Z</cp:lastPrinted>
  <dcterms:modified xsi:type="dcterms:W3CDTF">2018-03-12T14:16:28Z</dcterms:modified>
  <cp:revision>1</cp:revision>
  <dc:subject/>
  <dc:title/>
</cp:coreProperties>
</file>