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Представляем наглядный материал по новой льготной категории граждан –</w:t>
      </w:r>
      <w:bookmarkStart w:id="0" w:name="__DdeLink__545_357720074"/>
      <w:r>
        <w:rPr/>
        <w:t xml:space="preserve"> лица предпенсионного возраста</w:t>
      </w:r>
      <w:bookmarkEnd w:id="0"/>
      <w:r>
        <w:rPr/>
        <w:t xml:space="preserve">, к которым относятся граждане в возрасте не более чем за 5 лет до достижения нового пенсионного возраста.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144145</wp:posOffset>
            </wp:positionH>
            <wp:positionV relativeFrom="paragraph">
              <wp:posOffset>95250</wp:posOffset>
            </wp:positionV>
            <wp:extent cx="2993390" cy="21139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28</Words>
  <Characters>177</Characters>
  <CharactersWithSpaces>206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2019-02-04T12:50:46Z</dcterms:created>
  <dc:creator/>
  <dc:description/>
  <dc:language>ru-RU</dc:language>
  <cp:lastModifiedBy/>
  <cp:lastPrinted>2019-02-24T12:46:24Z</cp:lastPrinted>
  <dcterms:modified xsi:type="dcterms:W3CDTF">2019-02-04T12:51:29Z</dcterms:modified>
  <cp:revision>1</cp:revision>
  <dc:subject/>
  <dc:title/>
</cp:coreProperties>
</file>