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Право досрочного выхода на пенсию для многодетных женщин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anchor behindDoc="0" distT="0" distB="0" distL="19050" distR="0" simplePos="0" locked="0" layoutInCell="1" allowOverlap="1" relativeHeight="2">
            <wp:simplePos x="0" y="0"/>
            <wp:positionH relativeFrom="column">
              <wp:posOffset>-282575</wp:posOffset>
            </wp:positionH>
            <wp:positionV relativeFrom="paragraph">
              <wp:posOffset>-635</wp:posOffset>
            </wp:positionV>
            <wp:extent cx="5162550" cy="372491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724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58c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8</Words>
  <Characters>49</Characters>
  <CharactersWithSpaces>56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2019-04-02T09:03:00Z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2019-05-10T11:06:56Z</cp:lastPrinted>
  <dcterms:modified xsi:type="dcterms:W3CDTF">2019-04-02T09:04:00Z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