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период ухода за ребенком включается в страховой стаж.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51435</wp:posOffset>
            </wp:positionH>
            <wp:positionV relativeFrom="paragraph">
              <wp:posOffset>165735</wp:posOffset>
            </wp:positionV>
            <wp:extent cx="1826895" cy="182689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741170" cy="1741170"/>
            <wp:effectExtent l="0" t="0" r="0" b="0"/>
            <wp:wrapSquare wrapText="largest"/>
            <wp:docPr id="2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7c61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eastAsia="zh-CN" w:bidi="hi-IN"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1</Pages>
  <Words>8</Words>
  <Characters>46</Characters>
  <CharactersWithSpaces>54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2019-05-24T12:57:00Z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2019-05-29T11:01:31Z</cp:lastPrinted>
  <dcterms:modified xsi:type="dcterms:W3CDTF">2019-05-24T12:57:00Z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