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Если гражданин проживает в муниципальной квартире – кто должен упл</w:t>
      </w:r>
      <w:r>
        <w:rPr>
          <w:rFonts w:ascii="Times New Roman" w:hAnsi="Times New Roman"/>
          <w:b w:val="1"/>
          <w:color w:val="333333"/>
          <w:sz w:val="28"/>
        </w:rPr>
        <w:t>а</w:t>
      </w:r>
      <w:r>
        <w:rPr>
          <w:rFonts w:ascii="Times New Roman" w:hAnsi="Times New Roman"/>
          <w:b w:val="1"/>
          <w:color w:val="333333"/>
          <w:sz w:val="28"/>
        </w:rPr>
        <w:t>чивать взносы на капитальный ремонт?</w:t>
      </w:r>
    </w:p>
    <w:p w14:paraId="06000000">
      <w:pPr>
        <w:pStyle w:val="Style_3"/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Частью 1 ст. 169 Жилищного кодекса РФ установлена обязанность собственников помещений в многоквартирном доме уплачивать ежемесячные взносы на кап</w:t>
      </w:r>
      <w:r>
        <w:rPr>
          <w:rFonts w:ascii="Times New Roman" w:hAnsi="Times New Roman"/>
          <w:color w:val="333333"/>
          <w:sz w:val="28"/>
        </w:rPr>
        <w:t>и</w:t>
      </w:r>
      <w:r>
        <w:rPr>
          <w:rFonts w:ascii="Times New Roman" w:hAnsi="Times New Roman"/>
          <w:color w:val="333333"/>
          <w:sz w:val="28"/>
        </w:rPr>
        <w:t>тальный ремонт общего имущества в многоквартирном доме.</w:t>
      </w:r>
    </w:p>
    <w:p w14:paraId="07000000">
      <w:pPr>
        <w:pStyle w:val="Style_3"/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Согласно ч. 2 ст. 154 Жилищного кодекса плата за жилое помещение и комм</w:t>
      </w:r>
      <w:r>
        <w:rPr>
          <w:rFonts w:ascii="Times New Roman" w:hAnsi="Times New Roman"/>
          <w:color w:val="333333"/>
          <w:sz w:val="28"/>
        </w:rPr>
        <w:t>у</w:t>
      </w:r>
      <w:r>
        <w:rPr>
          <w:rFonts w:ascii="Times New Roman" w:hAnsi="Times New Roman"/>
          <w:color w:val="333333"/>
          <w:sz w:val="28"/>
        </w:rPr>
        <w:t>нальные услуги для собственника помещ</w:t>
      </w:r>
      <w:r>
        <w:rPr>
          <w:rFonts w:ascii="Times New Roman" w:hAnsi="Times New Roman"/>
          <w:color w:val="333333"/>
          <w:sz w:val="28"/>
        </w:rPr>
        <w:t>е</w:t>
      </w:r>
      <w:r>
        <w:rPr>
          <w:rFonts w:ascii="Times New Roman" w:hAnsi="Times New Roman"/>
          <w:color w:val="333333"/>
          <w:sz w:val="28"/>
        </w:rPr>
        <w:t>ния в многоквартирном доме включает в себя, в том числе, взнос на капитальный ремонт.</w:t>
      </w:r>
    </w:p>
    <w:p w14:paraId="08000000">
      <w:pPr>
        <w:pStyle w:val="Style_3"/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Таким образом, если собственниками помещений являются органы местного с</w:t>
      </w:r>
      <w:r>
        <w:rPr>
          <w:rFonts w:ascii="Times New Roman" w:hAnsi="Times New Roman"/>
          <w:color w:val="333333"/>
          <w:sz w:val="28"/>
        </w:rPr>
        <w:t>а</w:t>
      </w:r>
      <w:r>
        <w:rPr>
          <w:rFonts w:ascii="Times New Roman" w:hAnsi="Times New Roman"/>
          <w:color w:val="333333"/>
          <w:sz w:val="28"/>
        </w:rPr>
        <w:t>моуправления муниципальных образов</w:t>
      </w:r>
      <w:r>
        <w:rPr>
          <w:rFonts w:ascii="Times New Roman" w:hAnsi="Times New Roman"/>
          <w:color w:val="333333"/>
          <w:sz w:val="28"/>
        </w:rPr>
        <w:t>а</w:t>
      </w:r>
      <w:r>
        <w:rPr>
          <w:rFonts w:ascii="Times New Roman" w:hAnsi="Times New Roman"/>
          <w:color w:val="333333"/>
          <w:sz w:val="28"/>
        </w:rPr>
        <w:t>ний, то обязанность уплачивать взносы на капитальный ремонт лежит на таких органах.</w:t>
      </w:r>
    </w:p>
    <w:p w14:paraId="09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0A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0B000000">
      <w:pPr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Перерасчет платы за вывоз отходов за период временного отсутствия гра</w:t>
      </w:r>
      <w:r>
        <w:rPr>
          <w:rFonts w:ascii="Times New Roman" w:hAnsi="Times New Roman"/>
          <w:b w:val="1"/>
          <w:color w:val="333333"/>
          <w:sz w:val="28"/>
        </w:rPr>
        <w:t>ж</w:t>
      </w:r>
      <w:r>
        <w:rPr>
          <w:rFonts w:ascii="Times New Roman" w:hAnsi="Times New Roman"/>
          <w:b w:val="1"/>
          <w:color w:val="333333"/>
          <w:sz w:val="28"/>
        </w:rPr>
        <w:t>дан.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FFFFFF"/>
          <w:sz w:val="28"/>
        </w:rPr>
        <w:t>ТекстПодеиться</w:t>
      </w:r>
    </w:p>
    <w:p w14:paraId="0C000000">
      <w:pPr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При временном отсутствии граждан внесение платы за отдельные виды комм</w:t>
      </w:r>
      <w:r>
        <w:rPr>
          <w:rFonts w:ascii="Times New Roman" w:hAnsi="Times New Roman"/>
          <w:color w:val="333333"/>
          <w:sz w:val="28"/>
        </w:rPr>
        <w:t>у</w:t>
      </w:r>
      <w:r>
        <w:rPr>
          <w:rFonts w:ascii="Times New Roman" w:hAnsi="Times New Roman"/>
          <w:color w:val="333333"/>
          <w:sz w:val="28"/>
        </w:rPr>
        <w:t>нальных услуг осуществляется с учетом перерасчета платежей за период време</w:t>
      </w:r>
      <w:r>
        <w:rPr>
          <w:rFonts w:ascii="Times New Roman" w:hAnsi="Times New Roman"/>
          <w:color w:val="333333"/>
          <w:sz w:val="28"/>
        </w:rPr>
        <w:t>н</w:t>
      </w:r>
      <w:r>
        <w:rPr>
          <w:rFonts w:ascii="Times New Roman" w:hAnsi="Times New Roman"/>
          <w:color w:val="333333"/>
          <w:sz w:val="28"/>
        </w:rPr>
        <w:t>ного отсутствия граждан, к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>торый осуществляется в соответствии с Правилами предоставления коммунальных услуг собс</w:t>
      </w:r>
      <w:r>
        <w:rPr>
          <w:rFonts w:ascii="Times New Roman" w:hAnsi="Times New Roman"/>
          <w:color w:val="333333"/>
          <w:sz w:val="28"/>
        </w:rPr>
        <w:t>т</w:t>
      </w:r>
      <w:r>
        <w:rPr>
          <w:rFonts w:ascii="Times New Roman" w:hAnsi="Times New Roman"/>
          <w:color w:val="333333"/>
          <w:sz w:val="28"/>
        </w:rPr>
        <w:t>венникам и пользователям помещений в многоквартирных домах и жилых домов, утвержденными постановлением Пр</w:t>
      </w:r>
      <w:r>
        <w:rPr>
          <w:rFonts w:ascii="Times New Roman" w:hAnsi="Times New Roman"/>
          <w:color w:val="333333"/>
          <w:sz w:val="28"/>
        </w:rPr>
        <w:t>а</w:t>
      </w:r>
      <w:r>
        <w:rPr>
          <w:rFonts w:ascii="Times New Roman" w:hAnsi="Times New Roman"/>
          <w:color w:val="333333"/>
          <w:sz w:val="28"/>
        </w:rPr>
        <w:t>вительства Российской Федерации от 06.05.2011 № 354 (далее – Пр</w:t>
      </w:r>
      <w:r>
        <w:rPr>
          <w:rFonts w:ascii="Times New Roman" w:hAnsi="Times New Roman"/>
          <w:color w:val="333333"/>
          <w:sz w:val="28"/>
        </w:rPr>
        <w:t>а</w:t>
      </w:r>
      <w:r>
        <w:rPr>
          <w:rFonts w:ascii="Times New Roman" w:hAnsi="Times New Roman"/>
          <w:color w:val="333333"/>
          <w:sz w:val="28"/>
        </w:rPr>
        <w:t>вила).</w:t>
      </w:r>
    </w:p>
    <w:p w14:paraId="0D000000">
      <w:pPr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Согласно п. 86 (1) Правил при временном (более 5 полных календарных дней подряд) отсутс</w:t>
      </w:r>
      <w:r>
        <w:rPr>
          <w:rFonts w:ascii="Times New Roman" w:hAnsi="Times New Roman"/>
          <w:color w:val="333333"/>
          <w:sz w:val="28"/>
        </w:rPr>
        <w:t>т</w:t>
      </w:r>
      <w:r>
        <w:rPr>
          <w:rFonts w:ascii="Times New Roman" w:hAnsi="Times New Roman"/>
          <w:color w:val="333333"/>
          <w:sz w:val="28"/>
        </w:rPr>
        <w:t>вии в жилом помещении потребителя перерасчет осуществляется на основании письменного заявления потребителя и документов, подтвержда</w:t>
      </w:r>
      <w:r>
        <w:rPr>
          <w:rFonts w:ascii="Times New Roman" w:hAnsi="Times New Roman"/>
          <w:color w:val="333333"/>
          <w:sz w:val="28"/>
        </w:rPr>
        <w:t>ю</w:t>
      </w:r>
      <w:r>
        <w:rPr>
          <w:rFonts w:ascii="Times New Roman" w:hAnsi="Times New Roman"/>
          <w:color w:val="333333"/>
          <w:sz w:val="28"/>
        </w:rPr>
        <w:t>щих продолжительность периода временного отсутствия потребителя в жилом помещении. Перерасчет производится в течение 5 рабочих дней после получения заявления, поданного до начала периода временного отсутствия потреб</w:t>
      </w:r>
      <w:r>
        <w:rPr>
          <w:rFonts w:ascii="Times New Roman" w:hAnsi="Times New Roman"/>
          <w:color w:val="333333"/>
          <w:sz w:val="28"/>
        </w:rPr>
        <w:t>и</w:t>
      </w:r>
      <w:r>
        <w:rPr>
          <w:rFonts w:ascii="Times New Roman" w:hAnsi="Times New Roman"/>
          <w:color w:val="333333"/>
          <w:sz w:val="28"/>
        </w:rPr>
        <w:t>теля или не позднее 30 дней после его окончания (п. 91 Правил).</w:t>
      </w:r>
    </w:p>
    <w:p w14:paraId="0E000000">
      <w:pPr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В случае подачи заявления о перерасчете в течение 30 дней после окончания п</w:t>
      </w:r>
      <w:r>
        <w:rPr>
          <w:rFonts w:ascii="Times New Roman" w:hAnsi="Times New Roman"/>
          <w:color w:val="333333"/>
          <w:sz w:val="28"/>
        </w:rPr>
        <w:t>е</w:t>
      </w:r>
      <w:r>
        <w:rPr>
          <w:rFonts w:ascii="Times New Roman" w:hAnsi="Times New Roman"/>
          <w:color w:val="333333"/>
          <w:sz w:val="28"/>
        </w:rPr>
        <w:t>риода време</w:t>
      </w:r>
      <w:r>
        <w:rPr>
          <w:rFonts w:ascii="Times New Roman" w:hAnsi="Times New Roman"/>
          <w:color w:val="333333"/>
          <w:sz w:val="28"/>
        </w:rPr>
        <w:t>н</w:t>
      </w:r>
      <w:r>
        <w:rPr>
          <w:rFonts w:ascii="Times New Roman" w:hAnsi="Times New Roman"/>
          <w:color w:val="333333"/>
          <w:sz w:val="28"/>
        </w:rPr>
        <w:t>ного отсутствия потребителя исполнитель осуществляет перерасчет размера платы за коммунальные услуги за период временного отсутствия, по</w:t>
      </w:r>
      <w:r>
        <w:rPr>
          <w:rFonts w:ascii="Times New Roman" w:hAnsi="Times New Roman"/>
          <w:color w:val="333333"/>
          <w:sz w:val="28"/>
        </w:rPr>
        <w:t>д</w:t>
      </w:r>
      <w:r>
        <w:rPr>
          <w:rFonts w:ascii="Times New Roman" w:hAnsi="Times New Roman"/>
          <w:color w:val="333333"/>
          <w:sz w:val="28"/>
        </w:rPr>
        <w:t>твержденный представленными документами, с учетом платежей, ранее начи</w:t>
      </w:r>
      <w:r>
        <w:rPr>
          <w:rFonts w:ascii="Times New Roman" w:hAnsi="Times New Roman"/>
          <w:color w:val="333333"/>
          <w:sz w:val="28"/>
        </w:rPr>
        <w:t>с</w:t>
      </w:r>
      <w:r>
        <w:rPr>
          <w:rFonts w:ascii="Times New Roman" w:hAnsi="Times New Roman"/>
          <w:color w:val="333333"/>
          <w:sz w:val="28"/>
        </w:rPr>
        <w:t>ленных исполнителем потребителю за период перерасч</w:t>
      </w:r>
      <w:r>
        <w:rPr>
          <w:rFonts w:ascii="Times New Roman" w:hAnsi="Times New Roman"/>
          <w:color w:val="333333"/>
          <w:sz w:val="28"/>
        </w:rPr>
        <w:t>е</w:t>
      </w:r>
      <w:r>
        <w:rPr>
          <w:rFonts w:ascii="Times New Roman" w:hAnsi="Times New Roman"/>
          <w:color w:val="333333"/>
          <w:sz w:val="28"/>
        </w:rPr>
        <w:t>та.</w:t>
      </w:r>
    </w:p>
    <w:p w14:paraId="0F000000">
      <w:pPr>
        <w:widowControl w:val="1"/>
        <w:spacing w:after="0" w:before="0" w:line="240" w:lineRule="auto"/>
        <w:ind w:firstLine="567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Заявление должно содержать указание на фамилию, имя и отчество (при наличии) каждого временно отсутствующего потребителя, день начала и окончания пери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>да его временного отсутствия в жилом помещении. К заявлению прилагаются д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>кументы, подтверждающие пр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>должительность периода 3 временного отсутствия потребителя (например, копии командировочного удостоверения, проездные б</w:t>
      </w:r>
      <w:r>
        <w:rPr>
          <w:rFonts w:ascii="Times New Roman" w:hAnsi="Times New Roman"/>
          <w:color w:val="333333"/>
          <w:sz w:val="28"/>
        </w:rPr>
        <w:t>и</w:t>
      </w:r>
      <w:r>
        <w:rPr>
          <w:rFonts w:ascii="Times New Roman" w:hAnsi="Times New Roman"/>
          <w:color w:val="333333"/>
          <w:sz w:val="28"/>
        </w:rPr>
        <w:t>леты).</w:t>
      </w:r>
    </w:p>
    <w:p w14:paraId="10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11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12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13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14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Возможно ли паспорт гражданина РФ предъявить с использ</w:t>
      </w:r>
      <w:r>
        <w:rPr>
          <w:rFonts w:ascii="Times New Roman" w:hAnsi="Times New Roman"/>
          <w:b w:val="1"/>
          <w:color w:val="333333"/>
          <w:sz w:val="28"/>
        </w:rPr>
        <w:t>о</w:t>
      </w:r>
      <w:r>
        <w:rPr>
          <w:rFonts w:ascii="Times New Roman" w:hAnsi="Times New Roman"/>
          <w:b w:val="1"/>
          <w:color w:val="333333"/>
          <w:sz w:val="28"/>
        </w:rPr>
        <w:t xml:space="preserve">ванием мобильного приложения Единого портала </w:t>
      </w:r>
      <w:r>
        <w:rPr>
          <w:rFonts w:ascii="Times New Roman" w:hAnsi="Times New Roman"/>
          <w:b w:val="1"/>
          <w:color w:val="333333"/>
          <w:sz w:val="28"/>
        </w:rPr>
        <w:t>госуслуг?</w:t>
      </w:r>
    </w:p>
    <w:p w14:paraId="15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Утвержден перечень документов, удостоверяющих личность гражданина РФ, которые могут быть предъявлены с и</w:t>
      </w:r>
      <w:r>
        <w:rPr>
          <w:rFonts w:ascii="Times New Roman" w:hAnsi="Times New Roman"/>
          <w:color w:val="333333"/>
          <w:sz w:val="28"/>
        </w:rPr>
        <w:t>с</w:t>
      </w:r>
      <w:r>
        <w:rPr>
          <w:rFonts w:ascii="Times New Roman" w:hAnsi="Times New Roman"/>
          <w:color w:val="333333"/>
          <w:sz w:val="28"/>
        </w:rPr>
        <w:t xml:space="preserve">пользованием мобильного приложения Единого портала </w:t>
      </w:r>
      <w:r>
        <w:rPr>
          <w:rFonts w:ascii="Times New Roman" w:hAnsi="Times New Roman"/>
          <w:color w:val="333333"/>
          <w:sz w:val="28"/>
        </w:rPr>
        <w:t>госуслуг</w:t>
      </w:r>
      <w:r>
        <w:rPr>
          <w:rFonts w:ascii="Times New Roman" w:hAnsi="Times New Roman"/>
          <w:color w:val="333333"/>
          <w:sz w:val="28"/>
        </w:rPr>
        <w:t>.</w:t>
      </w:r>
    </w:p>
    <w:p w14:paraId="16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Постановление Правительства РФ от 19.09.2025 № 1443 "О применении мобильного приложения федеральной госуда</w:t>
      </w:r>
      <w:r>
        <w:rPr>
          <w:rFonts w:ascii="Times New Roman" w:hAnsi="Times New Roman"/>
          <w:color w:val="333333"/>
          <w:sz w:val="28"/>
        </w:rPr>
        <w:t>р</w:t>
      </w:r>
      <w:r>
        <w:rPr>
          <w:rFonts w:ascii="Times New Roman" w:hAnsi="Times New Roman"/>
          <w:color w:val="333333"/>
          <w:sz w:val="28"/>
        </w:rPr>
        <w:t>ственной информационной системы "Единый портал государственных и муниципальных услуг (функций)" в целях пре</w:t>
      </w:r>
      <w:r>
        <w:rPr>
          <w:rFonts w:ascii="Times New Roman" w:hAnsi="Times New Roman"/>
          <w:color w:val="333333"/>
          <w:sz w:val="28"/>
        </w:rPr>
        <w:t>д</w:t>
      </w:r>
      <w:r>
        <w:rPr>
          <w:rFonts w:ascii="Times New Roman" w:hAnsi="Times New Roman"/>
          <w:color w:val="333333"/>
          <w:sz w:val="28"/>
        </w:rPr>
        <w:t>ставления гражданами Российской Федерации сведений, содержащихся в документах, удостоверяющих личность гра</w:t>
      </w:r>
      <w:r>
        <w:rPr>
          <w:rFonts w:ascii="Times New Roman" w:hAnsi="Times New Roman"/>
          <w:color w:val="333333"/>
          <w:sz w:val="28"/>
        </w:rPr>
        <w:t>ж</w:t>
      </w:r>
      <w:r>
        <w:rPr>
          <w:rFonts w:ascii="Times New Roman" w:hAnsi="Times New Roman"/>
          <w:color w:val="333333"/>
          <w:sz w:val="28"/>
        </w:rPr>
        <w:t>данина Российской Федерации, либо иных документах. выданных гражданам Российской Федерации государственными органами Российской Федерации".</w:t>
      </w:r>
    </w:p>
    <w:p w14:paraId="17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Установлено, что с использованием мобильного приложения Единого портала </w:t>
      </w:r>
      <w:r>
        <w:rPr>
          <w:rFonts w:ascii="Times New Roman" w:hAnsi="Times New Roman"/>
          <w:color w:val="333333"/>
          <w:sz w:val="28"/>
        </w:rPr>
        <w:t>госуслуг</w:t>
      </w:r>
      <w:r>
        <w:rPr>
          <w:rFonts w:ascii="Times New Roman" w:hAnsi="Times New Roman"/>
          <w:color w:val="333333"/>
          <w:sz w:val="28"/>
        </w:rPr>
        <w:t xml:space="preserve"> может быть </w:t>
      </w:r>
      <w:r>
        <w:rPr>
          <w:rFonts w:ascii="Times New Roman" w:hAnsi="Times New Roman"/>
          <w:color w:val="333333"/>
          <w:sz w:val="28"/>
        </w:rPr>
        <w:t>предьявлен</w:t>
      </w:r>
      <w:r>
        <w:rPr>
          <w:rFonts w:ascii="Times New Roman" w:hAnsi="Times New Roman"/>
          <w:color w:val="333333"/>
          <w:sz w:val="28"/>
        </w:rPr>
        <w:t xml:space="preserve"> паспорт гражданина РФ, удостоверяющий личность гражданина РФ на территории России.</w:t>
      </w:r>
    </w:p>
    <w:p w14:paraId="18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Определены случаи, когда представление гражданами РФ сведений, содержащихся в документах, удостоверяющих ли</w:t>
      </w:r>
      <w:r>
        <w:rPr>
          <w:rFonts w:ascii="Times New Roman" w:hAnsi="Times New Roman"/>
          <w:color w:val="333333"/>
          <w:sz w:val="28"/>
        </w:rPr>
        <w:t>ч</w:t>
      </w:r>
      <w:r>
        <w:rPr>
          <w:rFonts w:ascii="Times New Roman" w:hAnsi="Times New Roman"/>
          <w:color w:val="333333"/>
          <w:sz w:val="28"/>
        </w:rPr>
        <w:t xml:space="preserve">ность гражданина РФ, в электронной форме с использованием мобильного приложения портала </w:t>
      </w:r>
      <w:r>
        <w:rPr>
          <w:rFonts w:ascii="Times New Roman" w:hAnsi="Times New Roman"/>
          <w:color w:val="333333"/>
          <w:sz w:val="28"/>
        </w:rPr>
        <w:t>Госуслуг</w:t>
      </w:r>
      <w:r>
        <w:rPr>
          <w:rFonts w:ascii="Times New Roman" w:hAnsi="Times New Roman"/>
          <w:color w:val="333333"/>
          <w:sz w:val="28"/>
        </w:rPr>
        <w:t xml:space="preserve"> приравнивае</w:t>
      </w:r>
      <w:r>
        <w:rPr>
          <w:rFonts w:ascii="Times New Roman" w:hAnsi="Times New Roman"/>
          <w:color w:val="333333"/>
          <w:sz w:val="28"/>
        </w:rPr>
        <w:t>т</w:t>
      </w:r>
      <w:r>
        <w:rPr>
          <w:rFonts w:ascii="Times New Roman" w:hAnsi="Times New Roman"/>
          <w:color w:val="333333"/>
          <w:sz w:val="28"/>
        </w:rPr>
        <w:t xml:space="preserve">ся к </w:t>
      </w:r>
      <w:r>
        <w:rPr>
          <w:rFonts w:ascii="Times New Roman" w:hAnsi="Times New Roman"/>
          <w:color w:val="333333"/>
          <w:sz w:val="28"/>
        </w:rPr>
        <w:t>предьявлению</w:t>
      </w:r>
      <w:r>
        <w:rPr>
          <w:rFonts w:ascii="Times New Roman" w:hAnsi="Times New Roman"/>
          <w:color w:val="333333"/>
          <w:sz w:val="28"/>
        </w:rPr>
        <w:t xml:space="preserve"> таких документов, и состав таких сведений.</w:t>
      </w:r>
    </w:p>
    <w:p w14:paraId="19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Со дня вступления документа в силу предъявлять паспорт гражданина РФ через мобильное приложение можно для:</w:t>
      </w:r>
    </w:p>
    <w:p w14:paraId="1A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- подтверждения возраста покупателя алкогольной продукции, табачной продукции или </w:t>
      </w:r>
      <w:r>
        <w:rPr>
          <w:rFonts w:ascii="Times New Roman" w:hAnsi="Times New Roman"/>
          <w:color w:val="333333"/>
          <w:sz w:val="28"/>
        </w:rPr>
        <w:t>никотинсодержащей</w:t>
      </w:r>
      <w:r>
        <w:rPr>
          <w:rFonts w:ascii="Times New Roman" w:hAnsi="Times New Roman"/>
          <w:color w:val="333333"/>
          <w:sz w:val="28"/>
        </w:rPr>
        <w:t xml:space="preserve"> продукции, безалкогольных тонизирующих или безалкогольных энергетических напитков, кальянов и устройств для потребления </w:t>
      </w:r>
      <w:r>
        <w:rPr>
          <w:rFonts w:ascii="Times New Roman" w:hAnsi="Times New Roman"/>
          <w:color w:val="333333"/>
          <w:sz w:val="28"/>
        </w:rPr>
        <w:t>никотинсодержащей</w:t>
      </w:r>
      <w:r>
        <w:rPr>
          <w:rFonts w:ascii="Times New Roman" w:hAnsi="Times New Roman"/>
          <w:color w:val="333333"/>
          <w:sz w:val="28"/>
        </w:rPr>
        <w:t xml:space="preserve"> продукции, пиротехнических изделий и сжиженного газа; </w:t>
      </w:r>
    </w:p>
    <w:p w14:paraId="1B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подтверждения возраста посетителя музея и (или) зрелищного мероприятия;</w:t>
      </w:r>
    </w:p>
    <w:p w14:paraId="1C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установления личности гражданина РФ - отправителя или адресата (уполномоченного представителя) при приеме регистрируемых почтовых отправлений, при вручении регистрируемых почтовых отправлений и пр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>стых почтовых отправлений, адресованных до востребования.</w:t>
      </w:r>
    </w:p>
    <w:p w14:paraId="1D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Установлены сроки, по истечении которых граждане РФ смогут предъявлять паспорт РФ с помощью мобильного прил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 xml:space="preserve">жения портала </w:t>
      </w:r>
      <w:r>
        <w:rPr>
          <w:rFonts w:ascii="Times New Roman" w:hAnsi="Times New Roman"/>
          <w:color w:val="333333"/>
          <w:sz w:val="28"/>
        </w:rPr>
        <w:t>Госуслуг</w:t>
      </w:r>
      <w:r>
        <w:rPr>
          <w:rFonts w:ascii="Times New Roman" w:hAnsi="Times New Roman"/>
          <w:color w:val="333333"/>
          <w:sz w:val="28"/>
        </w:rPr>
        <w:t xml:space="preserve"> в иных предусмотренных постановлением случаях (например, при заселении в гостиницу или в медицинских организациях).</w:t>
      </w:r>
    </w:p>
    <w:p w14:paraId="1E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 Документ вступил в силу с 30 сентября 2025 года.</w:t>
      </w:r>
    </w:p>
    <w:p w14:paraId="1F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20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21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22000000">
      <w:pPr>
        <w:widowControl w:val="1"/>
        <w:spacing w:after="0" w:before="0" w:line="240" w:lineRule="auto"/>
        <w:ind w:firstLine="0"/>
        <w:jc w:val="both"/>
        <w:rPr>
          <w:rFonts w:ascii="Times New Roman" w:hAnsi="Times New Roman"/>
          <w:b w:val="0"/>
          <w:sz w:val="28"/>
        </w:rPr>
      </w:pPr>
    </w:p>
    <w:p w14:paraId="23000000">
      <w:pPr>
        <w:widowControl w:val="1"/>
        <w:spacing w:after="0" w:before="0" w:line="240" w:lineRule="auto"/>
        <w:ind w:firstLine="0"/>
        <w:jc w:val="both"/>
        <w:rPr>
          <w:rFonts w:ascii="Times New Roman" w:hAnsi="Times New Roman"/>
          <w:b w:val="0"/>
          <w:sz w:val="28"/>
        </w:rPr>
      </w:pPr>
    </w:p>
    <w:p w14:paraId="24000000">
      <w:pPr>
        <w:widowControl w:val="1"/>
        <w:spacing w:after="0" w:before="0" w:line="240" w:lineRule="auto"/>
        <w:ind w:firstLine="0"/>
        <w:jc w:val="both"/>
        <w:rPr>
          <w:rFonts w:ascii="Times New Roman" w:hAnsi="Times New Roman"/>
          <w:b w:val="0"/>
          <w:sz w:val="28"/>
        </w:rPr>
      </w:pPr>
    </w:p>
    <w:p w14:paraId="25000000">
      <w:pPr>
        <w:widowControl w:val="1"/>
        <w:spacing w:after="0" w:before="0" w:line="240" w:lineRule="auto"/>
        <w:ind w:firstLine="0"/>
        <w:jc w:val="both"/>
        <w:rPr>
          <w:rFonts w:ascii="Times New Roman" w:hAnsi="Times New Roman"/>
          <w:b w:val="0"/>
          <w:sz w:val="28"/>
        </w:rPr>
      </w:pPr>
    </w:p>
    <w:p w14:paraId="26000000">
      <w:pPr>
        <w:widowControl w:val="1"/>
        <w:spacing w:after="0" w:before="0" w:line="240" w:lineRule="auto"/>
        <w:ind w:firstLine="0"/>
        <w:jc w:val="both"/>
        <w:rPr>
          <w:rFonts w:ascii="Times New Roman" w:hAnsi="Times New Roman"/>
          <w:b w:val="0"/>
          <w:sz w:val="28"/>
        </w:rPr>
      </w:pPr>
    </w:p>
    <w:p w14:paraId="27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ЦБ РФ дал банкам рекомендации по обслуживанию детей от 14 лет</w:t>
      </w:r>
    </w:p>
    <w:p w14:paraId="28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Чтобы снизить риски участия подростков в противоправных операциях, отмывании преступных доходов и другой нез</w:t>
      </w:r>
      <w:r>
        <w:rPr>
          <w:rFonts w:ascii="Times New Roman" w:hAnsi="Times New Roman"/>
          <w:color w:val="333333"/>
          <w:sz w:val="28"/>
        </w:rPr>
        <w:t>а</w:t>
      </w:r>
      <w:r>
        <w:rPr>
          <w:rFonts w:ascii="Times New Roman" w:hAnsi="Times New Roman"/>
          <w:color w:val="333333"/>
          <w:sz w:val="28"/>
        </w:rPr>
        <w:t>конной деятельности, регулятор, среди прочего, рекомендует банкам при приеме на обслуживание детей от 14 до 18 лет:  </w:t>
      </w:r>
    </w:p>
    <w:p w14:paraId="29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усилить информирование о рисках и последствиях вовлечения в преступную деятельность и о способах прот</w:t>
      </w:r>
      <w:r>
        <w:rPr>
          <w:rFonts w:ascii="Times New Roman" w:hAnsi="Times New Roman"/>
          <w:color w:val="333333"/>
          <w:sz w:val="28"/>
        </w:rPr>
        <w:t>и</w:t>
      </w:r>
      <w:r>
        <w:rPr>
          <w:rFonts w:ascii="Times New Roman" w:hAnsi="Times New Roman"/>
          <w:color w:val="333333"/>
          <w:sz w:val="28"/>
        </w:rPr>
        <w:t>водействия этому (например, не сообщать данные своей платежной карты третьим лицам);  </w:t>
      </w:r>
    </w:p>
    <w:p w14:paraId="2A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в документах, которые регламентируют процедуры управления рисками в сфере отмывания доходов, получе</w:t>
      </w:r>
      <w:r>
        <w:rPr>
          <w:rFonts w:ascii="Times New Roman" w:hAnsi="Times New Roman"/>
          <w:color w:val="333333"/>
          <w:sz w:val="28"/>
        </w:rPr>
        <w:t>н</w:t>
      </w:r>
      <w:r>
        <w:rPr>
          <w:rFonts w:ascii="Times New Roman" w:hAnsi="Times New Roman"/>
          <w:color w:val="333333"/>
          <w:sz w:val="28"/>
        </w:rPr>
        <w:t>ных преступным путем, определить признаки вовлечения несовершеннолетних в противоправную деятел</w:t>
      </w:r>
      <w:r>
        <w:rPr>
          <w:rFonts w:ascii="Times New Roman" w:hAnsi="Times New Roman"/>
          <w:color w:val="333333"/>
          <w:sz w:val="28"/>
        </w:rPr>
        <w:t>ь</w:t>
      </w:r>
      <w:r>
        <w:rPr>
          <w:rFonts w:ascii="Times New Roman" w:hAnsi="Times New Roman"/>
          <w:color w:val="333333"/>
          <w:sz w:val="28"/>
        </w:rPr>
        <w:t>ность,  дополнить договоры (в том числе действующие) условием об уведомлении законных представителей о выпуске подростку электронного средства платежа и о транзакциях по нему;  </w:t>
      </w:r>
    </w:p>
    <w:p w14:paraId="2B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предлагать сообщить данные родственников, от которых могут поступать деньги, и тех лиц, кому несоверше</w:t>
      </w:r>
      <w:r>
        <w:rPr>
          <w:rFonts w:ascii="Times New Roman" w:hAnsi="Times New Roman"/>
          <w:color w:val="333333"/>
          <w:sz w:val="28"/>
        </w:rPr>
        <w:t>н</w:t>
      </w:r>
      <w:r>
        <w:rPr>
          <w:rFonts w:ascii="Times New Roman" w:hAnsi="Times New Roman"/>
          <w:color w:val="333333"/>
          <w:sz w:val="28"/>
        </w:rPr>
        <w:t>нолетний планирует делать переводы;  </w:t>
      </w:r>
    </w:p>
    <w:p w14:paraId="2C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рассмотреть вопрос об установлении в договоре положений о совокупном лимите не более 100 тыс. руб. в м</w:t>
      </w:r>
      <w:r>
        <w:rPr>
          <w:rFonts w:ascii="Times New Roman" w:hAnsi="Times New Roman"/>
          <w:color w:val="333333"/>
          <w:sz w:val="28"/>
        </w:rPr>
        <w:t>е</w:t>
      </w:r>
      <w:r>
        <w:rPr>
          <w:rFonts w:ascii="Times New Roman" w:hAnsi="Times New Roman"/>
          <w:color w:val="333333"/>
          <w:sz w:val="28"/>
        </w:rPr>
        <w:t>сяц, например, для операций по зачислению денег от лиц, которые не входят в круг родственников;  </w:t>
      </w:r>
    </w:p>
    <w:p w14:paraId="2D000000">
      <w:pPr>
        <w:pStyle w:val="Style_3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- отказывать в совершении операций, если есть подозрение, что их совершает не сам подросток или что он делает это по поручению другого лица.</w:t>
      </w:r>
    </w:p>
    <w:p w14:paraId="2E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2F000000">
      <w:pPr>
        <w:widowControl w:val="1"/>
        <w:spacing w:after="0" w:before="0" w:line="240" w:lineRule="auto"/>
        <w:ind w:firstLine="0"/>
        <w:jc w:val="both"/>
        <w:rPr>
          <w:rStyle w:val="Style_4_ch"/>
          <w:rFonts w:ascii="Times New Roman" w:hAnsi="Times New Roman"/>
          <w:b w:val="0"/>
          <w:sz w:val="28"/>
        </w:rPr>
      </w:pPr>
    </w:p>
    <w:p w14:paraId="30000000">
      <w:pPr>
        <w:widowControl w:val="1"/>
        <w:spacing w:after="0" w:before="0" w:line="240" w:lineRule="auto"/>
        <w:ind w:firstLine="0"/>
        <w:jc w:val="both"/>
        <w:rPr>
          <w:rFonts w:ascii="Times New Roman" w:hAnsi="Times New Roman"/>
          <w:b w:val="0"/>
          <w:sz w:val="28"/>
        </w:rPr>
      </w:pPr>
    </w:p>
    <w:p w14:paraId="31000000">
      <w:pPr>
        <w:widowControl w:val="1"/>
        <w:spacing w:line="240" w:lineRule="auto"/>
        <w:ind w:firstLine="709"/>
        <w:jc w:val="both"/>
        <w:rPr>
          <w:rFonts w:ascii="Arial" w:hAnsi="Arial"/>
          <w:b w:val="1"/>
          <w:color w:val="333333"/>
          <w:sz w:val="28"/>
        </w:rPr>
      </w:pPr>
      <w:r>
        <w:rPr>
          <w:rFonts w:ascii="Arial" w:hAnsi="Arial"/>
          <w:b w:val="1"/>
          <w:color w:val="333333"/>
          <w:sz w:val="28"/>
        </w:rPr>
        <w:t xml:space="preserve">Принят закон, устанавливающий </w:t>
      </w:r>
      <w:r>
        <w:rPr>
          <w:rFonts w:ascii="Arial" w:hAnsi="Arial"/>
          <w:b w:val="1"/>
          <w:color w:val="333333"/>
          <w:sz w:val="28"/>
        </w:rPr>
        <w:t>самозапрет</w:t>
      </w:r>
      <w:r>
        <w:rPr>
          <w:rFonts w:ascii="Arial" w:hAnsi="Arial"/>
          <w:b w:val="1"/>
          <w:color w:val="333333"/>
          <w:sz w:val="28"/>
        </w:rPr>
        <w:t xml:space="preserve"> на оформление сим-карт на свое имя с 1 сентября 2025 года </w:t>
      </w:r>
    </w:p>
    <w:p w14:paraId="32000000">
      <w:pPr>
        <w:widowControl w:val="1"/>
        <w:spacing w:line="240" w:lineRule="auto"/>
        <w:ind w:firstLine="709"/>
        <w:jc w:val="both"/>
        <w:rPr>
          <w:rFonts w:ascii="Arial" w:hAnsi="Arial"/>
          <w:b w:val="1"/>
          <w:color w:val="333333"/>
          <w:sz w:val="28"/>
        </w:rPr>
      </w:pPr>
      <w:r>
        <w:rPr>
          <w:color w:val="333333"/>
          <w:sz w:val="28"/>
        </w:rPr>
        <w:t>Федеральным законом от 01.04.2025 № 41-ФЗ внесены соответствующие изменения в ст. 45 Федерального закона от 07.07.2003 № 126-ФЗ «О связи» (дополнены пунктами 7.1 и 7.2), регламентирующими право физических лиц с 1 сентя</w:t>
      </w:r>
      <w:r>
        <w:rPr>
          <w:color w:val="333333"/>
          <w:sz w:val="28"/>
        </w:rPr>
        <w:t>б</w:t>
      </w:r>
      <w:r>
        <w:rPr>
          <w:color w:val="333333"/>
          <w:sz w:val="28"/>
        </w:rPr>
        <w:t>ря 2025 года установить запрет на заключение договоров об оказании услуг подвижной радиотелефонной связи с испол</w:t>
      </w:r>
      <w:r>
        <w:rPr>
          <w:color w:val="333333"/>
          <w:sz w:val="28"/>
        </w:rPr>
        <w:t>ь</w:t>
      </w:r>
      <w:r>
        <w:rPr>
          <w:color w:val="333333"/>
          <w:sz w:val="28"/>
        </w:rPr>
        <w:t>зованием единого портала государственных и муниципальных услуг либо при личном обращении в многофункционал</w:t>
      </w:r>
      <w:r>
        <w:rPr>
          <w:color w:val="333333"/>
          <w:sz w:val="28"/>
        </w:rPr>
        <w:t>ь</w:t>
      </w:r>
      <w:r>
        <w:rPr>
          <w:color w:val="333333"/>
          <w:sz w:val="28"/>
        </w:rPr>
        <w:t>ный центр.</w:t>
      </w:r>
    </w:p>
    <w:p w14:paraId="33000000">
      <w:pPr>
        <w:widowControl w:val="1"/>
        <w:spacing w:after="0" w:before="0" w:line="240" w:lineRule="auto"/>
        <w:ind w:firstLine="737"/>
        <w:jc w:val="both"/>
        <w:rPr>
          <w:rFonts w:ascii="Roboto" w:hAnsi="Roboto"/>
          <w:b w:val="0"/>
          <w:color w:val="333333"/>
          <w:sz w:val="28"/>
        </w:rPr>
      </w:pPr>
      <w:r>
        <w:rPr>
          <w:b w:val="0"/>
          <w:color w:val="333333"/>
          <w:sz w:val="28"/>
        </w:rPr>
        <w:t>При этом, снятие указанного запрета возможно будет только при личном обращении в МФЦ.</w:t>
      </w:r>
    </w:p>
    <w:p w14:paraId="34000000">
      <w:pPr>
        <w:widowControl w:val="1"/>
        <w:spacing w:after="0" w:before="0" w:line="240" w:lineRule="auto"/>
        <w:ind w:firstLine="737"/>
        <w:jc w:val="both"/>
        <w:rPr>
          <w:rFonts w:ascii="Roboto" w:hAnsi="Roboto"/>
          <w:b w:val="0"/>
          <w:color w:val="333333"/>
          <w:sz w:val="28"/>
        </w:rPr>
      </w:pPr>
      <w:r>
        <w:rPr>
          <w:b w:val="0"/>
          <w:color w:val="333333"/>
          <w:sz w:val="28"/>
        </w:rPr>
        <w:t>Данное нововведение в первую очередь направлено на защиту граждан от мошенников и злоумышленников</w:t>
      </w:r>
      <w:r>
        <w:rPr>
          <w:b w:val="0"/>
          <w:color w:val="333333"/>
          <w:sz w:val="28"/>
        </w:rPr>
        <w:t>, к</w:t>
      </w:r>
      <w:r>
        <w:rPr>
          <w:b w:val="0"/>
          <w:color w:val="333333"/>
          <w:sz w:val="28"/>
        </w:rPr>
        <w:t>о</w:t>
      </w:r>
      <w:r>
        <w:rPr>
          <w:b w:val="0"/>
          <w:color w:val="333333"/>
          <w:sz w:val="28"/>
        </w:rPr>
        <w:t>торые регистрируют номера на чужие паспорта для последующего совершения преступных схем.</w:t>
      </w:r>
    </w:p>
    <w:p w14:paraId="35000000">
      <w:pPr>
        <w:widowControl w:val="1"/>
        <w:spacing w:afterAutospacing="on" w:before="0" w:line="240" w:lineRule="auto"/>
        <w:ind/>
        <w:jc w:val="both"/>
        <w:rPr>
          <w:rFonts w:ascii="Roboto" w:hAnsi="Roboto"/>
          <w:color w:val="333333"/>
          <w:sz w:val="28"/>
          <w:highlight w:val="white"/>
        </w:rPr>
      </w:pPr>
    </w:p>
    <w:p w14:paraId="36000000">
      <w:pPr>
        <w:widowControl w:val="1"/>
        <w:spacing w:afterAutospacing="on" w:before="0" w:line="240" w:lineRule="auto"/>
        <w:ind/>
        <w:jc w:val="both"/>
        <w:rPr>
          <w:rFonts w:ascii="Roboto" w:hAnsi="Roboto"/>
          <w:color w:val="333333"/>
          <w:sz w:val="28"/>
          <w:highlight w:val="white"/>
        </w:rPr>
      </w:pPr>
    </w:p>
    <w:p w14:paraId="37000000">
      <w:pPr>
        <w:widowControl w:val="1"/>
        <w:spacing w:afterAutospacing="on" w:before="0" w:line="240" w:lineRule="auto"/>
        <w:ind/>
        <w:jc w:val="both"/>
        <w:rPr>
          <w:rFonts w:ascii="Roboto" w:hAnsi="Roboto"/>
          <w:b w:val="0"/>
          <w:color w:val="333333"/>
          <w:sz w:val="28"/>
        </w:rPr>
      </w:pPr>
    </w:p>
    <w:p w14:paraId="38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39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 xml:space="preserve">Усилена ответственность для </w:t>
      </w:r>
      <w:r>
        <w:rPr>
          <w:rFonts w:ascii="Times New Roman" w:hAnsi="Times New Roman"/>
          <w:b w:val="1"/>
          <w:color w:val="333333"/>
          <w:sz w:val="28"/>
          <w:highlight w:val="white"/>
        </w:rPr>
        <w:t>дропперов</w:t>
      </w:r>
      <w:r>
        <w:rPr>
          <w:rFonts w:ascii="Times New Roman" w:hAnsi="Times New Roman"/>
          <w:b w:val="1"/>
          <w:color w:val="333333"/>
          <w:sz w:val="28"/>
          <w:highlight w:val="white"/>
        </w:rPr>
        <w:t xml:space="preserve"> </w:t>
      </w:r>
    </w:p>
    <w:p w14:paraId="3A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С 5 июля 2025 года начали действовать изменения, внесенные Федеральным законом от 24.06.2025 № 176-ФЗ, в статью 187 Уголовного кодекса Российской Федерации.</w:t>
      </w:r>
    </w:p>
    <w:p w14:paraId="3B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 xml:space="preserve">Законодатель ввел уголовную ответственность для </w:t>
      </w:r>
      <w:r>
        <w:rPr>
          <w:rFonts w:ascii="Times New Roman" w:hAnsi="Times New Roman"/>
          <w:color w:val="333333"/>
          <w:sz w:val="28"/>
          <w:highlight w:val="white"/>
        </w:rPr>
        <w:t>дропперов</w:t>
      </w:r>
      <w:r>
        <w:rPr>
          <w:rFonts w:ascii="Times New Roman" w:hAnsi="Times New Roman"/>
          <w:color w:val="333333"/>
          <w:sz w:val="28"/>
          <w:highlight w:val="white"/>
        </w:rPr>
        <w:t xml:space="preserve"> – подставных лиц, которых мошенники используют для </w:t>
      </w:r>
      <w:r>
        <w:rPr>
          <w:rFonts w:ascii="Times New Roman" w:hAnsi="Times New Roman"/>
          <w:color w:val="333333"/>
          <w:sz w:val="28"/>
          <w:highlight w:val="white"/>
        </w:rPr>
        <w:t>обналичив</w:t>
      </w:r>
      <w:r>
        <w:rPr>
          <w:rFonts w:ascii="Times New Roman" w:hAnsi="Times New Roman"/>
          <w:color w:val="333333"/>
          <w:sz w:val="28"/>
          <w:highlight w:val="white"/>
        </w:rPr>
        <w:t>а</w:t>
      </w:r>
      <w:r>
        <w:rPr>
          <w:rFonts w:ascii="Times New Roman" w:hAnsi="Times New Roman"/>
          <w:color w:val="333333"/>
          <w:sz w:val="28"/>
          <w:highlight w:val="white"/>
        </w:rPr>
        <w:t>ния</w:t>
      </w:r>
      <w:r>
        <w:rPr>
          <w:rFonts w:ascii="Times New Roman" w:hAnsi="Times New Roman"/>
          <w:color w:val="333333"/>
          <w:sz w:val="28"/>
          <w:highlight w:val="white"/>
        </w:rPr>
        <w:t xml:space="preserve"> или перевода украденных денег.</w:t>
      </w:r>
    </w:p>
    <w:p w14:paraId="3C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За передачу из корыстных побуждений банковской карты (или других средств электронного платежа) злоумышленнику, а также за совершение незаконных операций из корыстной заинтересованности грозит крупный штраф либо лишение свободы на срок до 6 лет.</w:t>
      </w:r>
    </w:p>
    <w:p w14:paraId="3D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Установлено условие освобождения от уголовной ответственности лица, впервые совершившего </w:t>
      </w:r>
      <w:r>
        <w:rPr>
          <w:rFonts w:ascii="Times New Roman" w:hAnsi="Times New Roman"/>
          <w:color w:val="333333"/>
          <w:sz w:val="28"/>
        </w:rPr>
        <w:t>преступление, предусмотренное</w:t>
      </w:r>
      <w:r>
        <w:rPr>
          <w:rFonts w:ascii="Times New Roman" w:hAnsi="Times New Roman"/>
          <w:color w:val="333333"/>
          <w:sz w:val="28"/>
        </w:rPr>
        <w:t xml:space="preserve"> н</w:t>
      </w:r>
      <w:r>
        <w:rPr>
          <w:rFonts w:ascii="Times New Roman" w:hAnsi="Times New Roman"/>
          <w:color w:val="333333"/>
          <w:sz w:val="28"/>
        </w:rPr>
        <w:t>о</w:t>
      </w:r>
      <w:r>
        <w:rPr>
          <w:rFonts w:ascii="Times New Roman" w:hAnsi="Times New Roman"/>
          <w:color w:val="333333"/>
          <w:sz w:val="28"/>
        </w:rPr>
        <w:t>выми частями третьей или четвертой статьи 187 УК РФ.</w:t>
      </w:r>
    </w:p>
    <w:p w14:paraId="3E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Клиент банка, впервые совершивший это преступление, освобождается от уголовной ответственности в случае, если согласится акти</w:t>
      </w:r>
      <w:r>
        <w:rPr>
          <w:rFonts w:ascii="Times New Roman" w:hAnsi="Times New Roman"/>
          <w:color w:val="333333"/>
          <w:sz w:val="28"/>
          <w:highlight w:val="white"/>
        </w:rPr>
        <w:t>в</w:t>
      </w:r>
      <w:r>
        <w:rPr>
          <w:rFonts w:ascii="Times New Roman" w:hAnsi="Times New Roman"/>
          <w:color w:val="333333"/>
          <w:sz w:val="28"/>
          <w:highlight w:val="white"/>
        </w:rPr>
        <w:t>но содействовать раскрытию и расследованию преступления и добровольно назовет фигурантов, совершивших другие деяния с пом</w:t>
      </w:r>
      <w:r>
        <w:rPr>
          <w:rFonts w:ascii="Times New Roman" w:hAnsi="Times New Roman"/>
          <w:color w:val="333333"/>
          <w:sz w:val="28"/>
          <w:highlight w:val="white"/>
        </w:rPr>
        <w:t>о</w:t>
      </w:r>
      <w:r>
        <w:rPr>
          <w:rFonts w:ascii="Times New Roman" w:hAnsi="Times New Roman"/>
          <w:color w:val="333333"/>
          <w:sz w:val="28"/>
          <w:highlight w:val="white"/>
        </w:rPr>
        <w:t>щью этой карты.</w:t>
      </w:r>
    </w:p>
    <w:p w14:paraId="3F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Кроме того, указанная статья дополнена примечаниями, разъясняющими используемые в ней понятия "электронное средство", "эле</w:t>
      </w:r>
      <w:r>
        <w:rPr>
          <w:rFonts w:ascii="Times New Roman" w:hAnsi="Times New Roman"/>
          <w:color w:val="333333"/>
          <w:sz w:val="28"/>
        </w:rPr>
        <w:t>к</w:t>
      </w:r>
      <w:r>
        <w:rPr>
          <w:rFonts w:ascii="Times New Roman" w:hAnsi="Times New Roman"/>
          <w:color w:val="333333"/>
          <w:sz w:val="28"/>
        </w:rPr>
        <w:t>тронное средство платежа" и "неправомерная операция".</w:t>
      </w:r>
    </w:p>
    <w:p w14:paraId="40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В случае утраты банковской карты, даже с нулевым балансом, необходимо обратиться в банк для ее блокировки, чтобы обезопасить себя и других лиц от противоправных действий мошенников.</w:t>
      </w:r>
    </w:p>
    <w:p w14:paraId="41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4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 xml:space="preserve">Какие трудовые гарантии имеют участники СВО и членов их семей? </w:t>
      </w:r>
      <w:r>
        <w:rPr>
          <w:rFonts w:ascii="Times New Roman" w:hAnsi="Times New Roman"/>
          <w:b w:val="1"/>
          <w:color w:val="333333"/>
          <w:sz w:val="28"/>
        </w:rPr>
        <w:tab/>
      </w:r>
      <w:r>
        <w:rPr>
          <w:rFonts w:ascii="Times New Roman" w:hAnsi="Times New Roman"/>
          <w:color w:val="333333"/>
          <w:sz w:val="28"/>
        </w:rPr>
        <w:t>Действие трудового договора с мобилизованным приостанавливается на период службы на основании заявления. На время службы за работником сохраняется должность и все трудовые гарантии. Период службы засчитывается в трудовой стаж (</w:t>
      </w:r>
      <w:r>
        <w:rPr>
          <w:rStyle w:val="Style_5_ch"/>
          <w:rFonts w:ascii="Times New Roman" w:hAnsi="Times New Roman"/>
          <w:color w:val="4062C4"/>
          <w:sz w:val="28"/>
        </w:rPr>
        <w:fldChar w:fldCharType="begin"/>
      </w:r>
      <w:r>
        <w:rPr>
          <w:rStyle w:val="Style_5_ch"/>
          <w:rFonts w:ascii="Times New Roman" w:hAnsi="Times New Roman"/>
          <w:color w:val="4062C4"/>
          <w:sz w:val="28"/>
        </w:rPr>
        <w:instrText>HYPERLINK "http://publication.pravo.gov.ru/Document/View/0001202210070004?ysclid=llxk7dzq66335666308"</w:instrText>
      </w:r>
      <w:r>
        <w:rPr>
          <w:rStyle w:val="Style_5_ch"/>
          <w:rFonts w:ascii="Times New Roman" w:hAnsi="Times New Roman"/>
          <w:color w:val="4062C4"/>
          <w:sz w:val="28"/>
        </w:rPr>
        <w:fldChar w:fldCharType="separate"/>
      </w:r>
      <w:r>
        <w:rPr>
          <w:rStyle w:val="Style_5_ch"/>
          <w:rFonts w:ascii="Times New Roman" w:hAnsi="Times New Roman"/>
          <w:color w:val="4062C4"/>
          <w:sz w:val="28"/>
        </w:rPr>
        <w:t>Федеральный закон</w:t>
      </w:r>
      <w:r>
        <w:rPr>
          <w:rStyle w:val="Style_5_ch"/>
          <w:rFonts w:ascii="Times New Roman" w:hAnsi="Times New Roman"/>
          <w:color w:val="4062C4"/>
          <w:sz w:val="28"/>
        </w:rPr>
        <w:fldChar w:fldCharType="end"/>
      </w:r>
      <w:r>
        <w:rPr>
          <w:rFonts w:ascii="Times New Roman" w:hAnsi="Times New Roman"/>
          <w:color w:val="333333"/>
          <w:sz w:val="28"/>
        </w:rPr>
        <w:t> от 07.10.2022 № 376-ФЗ).</w:t>
      </w:r>
    </w:p>
    <w:p w14:paraId="43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Предусмотрено приостановление </w:t>
      </w:r>
      <w:r>
        <w:rPr>
          <w:rFonts w:ascii="Times New Roman" w:hAnsi="Times New Roman"/>
          <w:color w:val="333333"/>
          <w:sz w:val="28"/>
        </w:rPr>
        <w:t>госслужбы</w:t>
      </w:r>
      <w:r>
        <w:rPr>
          <w:rFonts w:ascii="Times New Roman" w:hAnsi="Times New Roman"/>
          <w:color w:val="333333"/>
          <w:sz w:val="28"/>
        </w:rPr>
        <w:t xml:space="preserve"> в связи с мобилизацией или закл</w:t>
      </w:r>
      <w:r>
        <w:rPr>
          <w:rFonts w:ascii="Times New Roman" w:hAnsi="Times New Roman"/>
          <w:color w:val="333333"/>
          <w:sz w:val="28"/>
        </w:rPr>
        <w:t>ю</w:t>
      </w:r>
      <w:r>
        <w:rPr>
          <w:rFonts w:ascii="Times New Roman" w:hAnsi="Times New Roman"/>
          <w:color w:val="333333"/>
          <w:sz w:val="28"/>
        </w:rPr>
        <w:t xml:space="preserve">чением контракта о прохождении военной службы. Период военной службы включается в стаж </w:t>
      </w:r>
      <w:r>
        <w:rPr>
          <w:rFonts w:ascii="Times New Roman" w:hAnsi="Times New Roman"/>
          <w:color w:val="333333"/>
          <w:sz w:val="28"/>
        </w:rPr>
        <w:t>госслужбы</w:t>
      </w:r>
      <w:r>
        <w:rPr>
          <w:rFonts w:ascii="Times New Roman" w:hAnsi="Times New Roman"/>
          <w:color w:val="333333"/>
          <w:sz w:val="28"/>
        </w:rPr>
        <w:t xml:space="preserve"> (</w:t>
      </w:r>
      <w:r>
        <w:rPr>
          <w:rStyle w:val="Style_5_ch"/>
          <w:rFonts w:ascii="Times New Roman" w:hAnsi="Times New Roman"/>
          <w:color w:val="4062C4"/>
          <w:sz w:val="28"/>
        </w:rPr>
        <w:fldChar w:fldCharType="begin"/>
      </w:r>
      <w:r>
        <w:rPr>
          <w:rStyle w:val="Style_5_ch"/>
          <w:rFonts w:ascii="Times New Roman" w:hAnsi="Times New Roman"/>
          <w:color w:val="4062C4"/>
          <w:sz w:val="28"/>
        </w:rPr>
        <w:instrText>HYPERLINK "http://publication.pravo.gov.ru/Document/View/0001202212050013?ysclid=llxld2qk3u743243885"</w:instrText>
      </w:r>
      <w:r>
        <w:rPr>
          <w:rStyle w:val="Style_5_ch"/>
          <w:rFonts w:ascii="Times New Roman" w:hAnsi="Times New Roman"/>
          <w:color w:val="4062C4"/>
          <w:sz w:val="28"/>
        </w:rPr>
        <w:fldChar w:fldCharType="separate"/>
      </w:r>
      <w:r>
        <w:rPr>
          <w:rStyle w:val="Style_5_ch"/>
          <w:rFonts w:ascii="Times New Roman" w:hAnsi="Times New Roman"/>
          <w:color w:val="4062C4"/>
          <w:sz w:val="28"/>
        </w:rPr>
        <w:t>Федеральный закон</w:t>
      </w:r>
      <w:r>
        <w:rPr>
          <w:rStyle w:val="Style_5_ch"/>
          <w:rFonts w:ascii="Times New Roman" w:hAnsi="Times New Roman"/>
          <w:color w:val="4062C4"/>
          <w:sz w:val="28"/>
        </w:rPr>
        <w:fldChar w:fldCharType="end"/>
      </w:r>
      <w:r>
        <w:rPr>
          <w:rFonts w:ascii="Times New Roman" w:hAnsi="Times New Roman"/>
          <w:color w:val="333333"/>
          <w:sz w:val="28"/>
        </w:rPr>
        <w:t> от 05.12.2022</w:t>
      </w:r>
      <w:r>
        <w:rPr>
          <w:rFonts w:ascii="Times New Roman" w:hAnsi="Times New Roman"/>
          <w:color w:val="333333"/>
          <w:sz w:val="28"/>
        </w:rPr>
        <w:br/>
      </w:r>
      <w:r>
        <w:rPr>
          <w:rFonts w:ascii="Times New Roman" w:hAnsi="Times New Roman"/>
          <w:color w:val="333333"/>
          <w:sz w:val="28"/>
        </w:rPr>
        <w:t>№ 472-ФЗ).</w:t>
      </w:r>
    </w:p>
    <w:p w14:paraId="44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За гражданским служащим, проходящим военную службу по контракту или в св</w:t>
      </w:r>
      <w:r>
        <w:rPr>
          <w:rFonts w:ascii="Times New Roman" w:hAnsi="Times New Roman"/>
          <w:color w:val="333333"/>
          <w:sz w:val="28"/>
        </w:rPr>
        <w:t>я</w:t>
      </w:r>
      <w:r>
        <w:rPr>
          <w:rFonts w:ascii="Times New Roman" w:hAnsi="Times New Roman"/>
          <w:color w:val="333333"/>
          <w:sz w:val="28"/>
        </w:rPr>
        <w:t>зи с мобилизацией, сохраняется должность (</w:t>
      </w:r>
      <w:r>
        <w:rPr>
          <w:rStyle w:val="Style_5_ch"/>
          <w:rFonts w:ascii="Times New Roman" w:hAnsi="Times New Roman"/>
          <w:color w:val="4062C4"/>
          <w:sz w:val="28"/>
        </w:rPr>
        <w:fldChar w:fldCharType="begin"/>
      </w:r>
      <w:r>
        <w:rPr>
          <w:rStyle w:val="Style_5_ch"/>
          <w:rFonts w:ascii="Times New Roman" w:hAnsi="Times New Roman"/>
          <w:color w:val="4062C4"/>
          <w:sz w:val="28"/>
        </w:rPr>
        <w:instrText>HYPERLINK "http://publication.pravo.gov.ru/Document/View/0001202210070002?ysclid=llxrkrlfoc397699095"</w:instrText>
      </w:r>
      <w:r>
        <w:rPr>
          <w:rStyle w:val="Style_5_ch"/>
          <w:rFonts w:ascii="Times New Roman" w:hAnsi="Times New Roman"/>
          <w:color w:val="4062C4"/>
          <w:sz w:val="28"/>
        </w:rPr>
        <w:fldChar w:fldCharType="separate"/>
      </w:r>
      <w:r>
        <w:rPr>
          <w:rStyle w:val="Style_5_ch"/>
          <w:rFonts w:ascii="Times New Roman" w:hAnsi="Times New Roman"/>
          <w:color w:val="4062C4"/>
          <w:sz w:val="28"/>
        </w:rPr>
        <w:t>Федеральный закон</w:t>
      </w:r>
      <w:r>
        <w:rPr>
          <w:rStyle w:val="Style_5_ch"/>
          <w:rFonts w:ascii="Times New Roman" w:hAnsi="Times New Roman"/>
          <w:color w:val="4062C4"/>
          <w:sz w:val="28"/>
        </w:rPr>
        <w:fldChar w:fldCharType="end"/>
      </w:r>
      <w:r>
        <w:rPr>
          <w:rFonts w:ascii="Times New Roman" w:hAnsi="Times New Roman"/>
          <w:color w:val="333333"/>
          <w:sz w:val="28"/>
        </w:rPr>
        <w:t> от 07.10.2022 № 379-ФЗ).</w:t>
      </w:r>
    </w:p>
    <w:p w14:paraId="45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Жен погибших ветеранов СВО, не вступивших в повторный брак, запретили увольнять по инициативе работодателя в течение года с момента гибели супруга (</w:t>
      </w:r>
      <w:r>
        <w:rPr>
          <w:rStyle w:val="Style_5_ch"/>
          <w:rFonts w:ascii="Times New Roman" w:hAnsi="Times New Roman"/>
          <w:color w:val="4062C4"/>
          <w:sz w:val="28"/>
        </w:rPr>
        <w:fldChar w:fldCharType="begin"/>
      </w:r>
      <w:r>
        <w:rPr>
          <w:rStyle w:val="Style_5_ch"/>
          <w:rFonts w:ascii="Times New Roman" w:hAnsi="Times New Roman"/>
          <w:color w:val="4062C4"/>
          <w:sz w:val="28"/>
        </w:rPr>
        <w:instrText>HYPERLINK "http://publication.pravo.gov.ru/document/0001202404060004"</w:instrText>
      </w:r>
      <w:r>
        <w:rPr>
          <w:rStyle w:val="Style_5_ch"/>
          <w:rFonts w:ascii="Times New Roman" w:hAnsi="Times New Roman"/>
          <w:color w:val="4062C4"/>
          <w:sz w:val="28"/>
        </w:rPr>
        <w:fldChar w:fldCharType="separate"/>
      </w:r>
      <w:r>
        <w:rPr>
          <w:rStyle w:val="Style_5_ch"/>
          <w:rFonts w:ascii="Times New Roman" w:hAnsi="Times New Roman"/>
          <w:color w:val="4062C4"/>
          <w:sz w:val="28"/>
        </w:rPr>
        <w:t>Федеральный закон</w:t>
      </w:r>
      <w:r>
        <w:rPr>
          <w:rStyle w:val="Style_5_ch"/>
          <w:rFonts w:ascii="Times New Roman" w:hAnsi="Times New Roman"/>
          <w:color w:val="4062C4"/>
          <w:sz w:val="28"/>
        </w:rPr>
        <w:fldChar w:fldCharType="end"/>
      </w:r>
      <w:r>
        <w:rPr>
          <w:rFonts w:ascii="Times New Roman" w:hAnsi="Times New Roman"/>
          <w:color w:val="333333"/>
          <w:sz w:val="28"/>
        </w:rPr>
        <w:t> от 6 апреля 2024 г. № 70-ФЗ).</w:t>
      </w:r>
    </w:p>
    <w:p w14:paraId="46000000">
      <w:pPr>
        <w:widowControl w:val="1"/>
        <w:spacing w:line="240" w:lineRule="auto"/>
        <w:ind/>
        <w:jc w:val="both"/>
        <w:rPr>
          <w:b w:val="0"/>
          <w:sz w:val="28"/>
        </w:rPr>
      </w:pPr>
    </w:p>
    <w:p w14:paraId="47000000">
      <w:pPr>
        <w:widowControl w:val="1"/>
        <w:spacing w:line="240" w:lineRule="auto"/>
        <w:ind/>
        <w:jc w:val="both"/>
        <w:rPr>
          <w:b w:val="0"/>
          <w:sz w:val="28"/>
        </w:rPr>
      </w:pPr>
    </w:p>
    <w:p w14:paraId="48000000">
      <w:pPr>
        <w:widowControl w:val="1"/>
        <w:spacing w:line="240" w:lineRule="auto"/>
        <w:ind/>
        <w:jc w:val="both"/>
        <w:rPr>
          <w:b w:val="0"/>
          <w:sz w:val="28"/>
        </w:rPr>
      </w:pPr>
    </w:p>
    <w:p w14:paraId="49000000">
      <w:pPr>
        <w:widowControl w:val="1"/>
        <w:spacing w:line="240" w:lineRule="auto"/>
        <w:ind/>
        <w:jc w:val="both"/>
        <w:rPr>
          <w:b w:val="0"/>
          <w:sz w:val="28"/>
        </w:rPr>
      </w:pPr>
    </w:p>
    <w:p w14:paraId="4A000000">
      <w:pPr>
        <w:widowControl w:val="1"/>
        <w:spacing w:line="240" w:lineRule="auto"/>
        <w:ind w:firstLine="709"/>
        <w:jc w:val="both"/>
        <w:rPr>
          <w:rFonts w:ascii="Arial" w:hAnsi="Arial"/>
          <w:b w:val="1"/>
          <w:color w:val="333333"/>
          <w:sz w:val="28"/>
        </w:rPr>
      </w:pPr>
      <w:r>
        <w:rPr>
          <w:rFonts w:ascii="Arial" w:hAnsi="Arial"/>
          <w:b w:val="1"/>
          <w:color w:val="333333"/>
          <w:sz w:val="28"/>
        </w:rPr>
        <w:t xml:space="preserve">Имеются особенности пенсионного обеспечения участников СВО и членов их семей? </w:t>
      </w:r>
    </w:p>
    <w:p w14:paraId="4B000000">
      <w:pPr>
        <w:widowControl w:val="1"/>
        <w:spacing w:line="240" w:lineRule="auto"/>
        <w:ind w:firstLine="709"/>
        <w:jc w:val="both"/>
        <w:rPr>
          <w:rFonts w:ascii="Arial" w:hAnsi="Arial"/>
          <w:b w:val="1"/>
          <w:color w:val="333333"/>
          <w:sz w:val="28"/>
        </w:rPr>
      </w:pPr>
      <w:r>
        <w:rPr>
          <w:color w:val="333333"/>
          <w:sz w:val="28"/>
        </w:rPr>
        <w:t>Семьи погибших участников СВО с детьми смогут рассчитывать на две пенсии – страховую и по потере кормильца. С 2025 г. пенсию по потере кормильца супр</w:t>
      </w:r>
      <w:r>
        <w:rPr>
          <w:color w:val="333333"/>
          <w:sz w:val="28"/>
        </w:rPr>
        <w:t>у</w:t>
      </w:r>
      <w:r>
        <w:rPr>
          <w:color w:val="333333"/>
          <w:sz w:val="28"/>
        </w:rPr>
        <w:t>гам военнослужащих начнут выплачивать независимо от возраста, трудоспосо</w:t>
      </w:r>
      <w:r>
        <w:rPr>
          <w:color w:val="333333"/>
          <w:sz w:val="28"/>
        </w:rPr>
        <w:t>б</w:t>
      </w:r>
      <w:r>
        <w:rPr>
          <w:color w:val="333333"/>
          <w:sz w:val="28"/>
        </w:rPr>
        <w:t>ности и выполнения работы. Но только если супруги не вступят в повторный брак и будут заниматься уходом за детьми умершего кормильца. Пенсию станут пер</w:t>
      </w:r>
      <w:r>
        <w:rPr>
          <w:color w:val="333333"/>
          <w:sz w:val="28"/>
        </w:rPr>
        <w:t>е</w:t>
      </w:r>
      <w:r>
        <w:rPr>
          <w:color w:val="333333"/>
          <w:sz w:val="28"/>
        </w:rPr>
        <w:t xml:space="preserve">числять до совершеннолетия ребенка, а в случае его очного обучения в вузе или </w:t>
      </w:r>
      <w:r>
        <w:rPr>
          <w:color w:val="333333"/>
          <w:sz w:val="28"/>
        </w:rPr>
        <w:t>ссузе</w:t>
      </w:r>
      <w:r>
        <w:rPr>
          <w:color w:val="333333"/>
          <w:sz w:val="28"/>
        </w:rPr>
        <w:t xml:space="preserve"> – до 23 лет (</w:t>
      </w:r>
      <w:r>
        <w:rPr>
          <w:rStyle w:val="Style_5_ch"/>
          <w:color w:val="4062C4"/>
          <w:sz w:val="28"/>
        </w:rPr>
        <w:fldChar w:fldCharType="begin"/>
      </w:r>
      <w:r>
        <w:rPr>
          <w:rStyle w:val="Style_5_ch"/>
          <w:color w:val="4062C4"/>
          <w:sz w:val="28"/>
        </w:rPr>
        <w:instrText>HYPERLINK "http://publication.pravo.gov.ru/document/0001202405290021?ysclid=lyww895kp4844934722"</w:instrText>
      </w:r>
      <w:r>
        <w:rPr>
          <w:rStyle w:val="Style_5_ch"/>
          <w:color w:val="4062C4"/>
          <w:sz w:val="28"/>
        </w:rPr>
        <w:fldChar w:fldCharType="separate"/>
      </w:r>
      <w:r>
        <w:rPr>
          <w:rStyle w:val="Style_5_ch"/>
          <w:color w:val="4062C4"/>
          <w:sz w:val="28"/>
        </w:rPr>
        <w:t>Федеральный закон</w:t>
      </w:r>
      <w:r>
        <w:rPr>
          <w:rStyle w:val="Style_5_ch"/>
          <w:color w:val="4062C4"/>
          <w:sz w:val="28"/>
        </w:rPr>
        <w:fldChar w:fldCharType="end"/>
      </w:r>
      <w:r>
        <w:rPr>
          <w:color w:val="333333"/>
          <w:sz w:val="28"/>
        </w:rPr>
        <w:t> от 29 мая 2024 г. № 118-ФЗ).</w:t>
      </w:r>
    </w:p>
    <w:p w14:paraId="4C000000">
      <w:pPr>
        <w:widowControl w:val="1"/>
        <w:spacing w:after="0" w:before="0" w:line="240" w:lineRule="auto"/>
        <w:ind w:firstLine="709"/>
        <w:jc w:val="both"/>
        <w:rPr>
          <w:rFonts w:ascii="Roboto" w:hAnsi="Roboto"/>
          <w:color w:val="333333"/>
          <w:sz w:val="28"/>
        </w:rPr>
      </w:pPr>
      <w:r>
        <w:rPr>
          <w:color w:val="333333"/>
          <w:sz w:val="28"/>
        </w:rPr>
        <w:t>В страховой стаж для расчета пособий по временной нетрудоспособности, по б</w:t>
      </w:r>
      <w:r>
        <w:rPr>
          <w:color w:val="333333"/>
          <w:sz w:val="28"/>
        </w:rPr>
        <w:t>е</w:t>
      </w:r>
      <w:r>
        <w:rPr>
          <w:color w:val="333333"/>
          <w:sz w:val="28"/>
        </w:rPr>
        <w:t>ременности и родам включаются периоды пребывания в добровольческом форм</w:t>
      </w:r>
      <w:r>
        <w:rPr>
          <w:color w:val="333333"/>
          <w:sz w:val="28"/>
        </w:rPr>
        <w:t>и</w:t>
      </w:r>
      <w:r>
        <w:rPr>
          <w:color w:val="333333"/>
          <w:sz w:val="28"/>
        </w:rPr>
        <w:t>ровании с 24 февраля 2022 г. (</w:t>
      </w:r>
      <w:r>
        <w:rPr>
          <w:rStyle w:val="Style_5_ch"/>
          <w:color w:val="4062C4"/>
          <w:sz w:val="28"/>
        </w:rPr>
        <w:fldChar w:fldCharType="begin"/>
      </w:r>
      <w:r>
        <w:rPr>
          <w:rStyle w:val="Style_5_ch"/>
          <w:color w:val="4062C4"/>
          <w:sz w:val="28"/>
        </w:rPr>
        <w:instrText>HYPERLINK "http://publication.pravo.gov.ru/document/0001202307180008?ysclid=llxtypc7u7971021712"</w:instrText>
      </w:r>
      <w:r>
        <w:rPr>
          <w:rStyle w:val="Style_5_ch"/>
          <w:color w:val="4062C4"/>
          <w:sz w:val="28"/>
        </w:rPr>
        <w:fldChar w:fldCharType="separate"/>
      </w:r>
      <w:r>
        <w:rPr>
          <w:rStyle w:val="Style_5_ch"/>
          <w:color w:val="4062C4"/>
          <w:sz w:val="28"/>
        </w:rPr>
        <w:t>Приказ</w:t>
      </w:r>
      <w:r>
        <w:rPr>
          <w:rStyle w:val="Style_5_ch"/>
          <w:color w:val="4062C4"/>
          <w:sz w:val="28"/>
        </w:rPr>
        <w:fldChar w:fldCharType="end"/>
      </w:r>
      <w:r>
        <w:rPr>
          <w:color w:val="333333"/>
          <w:sz w:val="28"/>
        </w:rPr>
        <w:t> Минтруда России от 19.06.2023 № 515н).</w:t>
      </w:r>
    </w:p>
    <w:p w14:paraId="4D000000">
      <w:pPr>
        <w:widowControl w:val="1"/>
        <w:spacing w:after="0" w:before="0" w:line="240" w:lineRule="auto"/>
        <w:ind w:firstLine="709"/>
        <w:jc w:val="both"/>
        <w:rPr>
          <w:rFonts w:ascii="Roboto" w:hAnsi="Roboto"/>
          <w:color w:val="333333"/>
          <w:sz w:val="28"/>
        </w:rPr>
      </w:pPr>
      <w:r>
        <w:rPr>
          <w:color w:val="333333"/>
          <w:sz w:val="28"/>
        </w:rPr>
        <w:t>Поменялся порядок перерасчета военных пенсий мобилизованных. При посл</w:t>
      </w:r>
      <w:r>
        <w:rPr>
          <w:color w:val="333333"/>
          <w:sz w:val="28"/>
        </w:rPr>
        <w:t>е</w:t>
      </w:r>
      <w:r>
        <w:rPr>
          <w:color w:val="333333"/>
          <w:sz w:val="28"/>
        </w:rPr>
        <w:t>дующем увольнении со службы они имеют право на возобновление выплаты пе</w:t>
      </w:r>
      <w:r>
        <w:rPr>
          <w:color w:val="333333"/>
          <w:sz w:val="28"/>
        </w:rPr>
        <w:t>н</w:t>
      </w:r>
      <w:r>
        <w:rPr>
          <w:color w:val="333333"/>
          <w:sz w:val="28"/>
        </w:rPr>
        <w:t>сии исходя из выслуги и общего трудового стажа на день приостановления пе</w:t>
      </w:r>
      <w:r>
        <w:rPr>
          <w:color w:val="333333"/>
          <w:sz w:val="28"/>
        </w:rPr>
        <w:t>н</w:t>
      </w:r>
      <w:r>
        <w:rPr>
          <w:color w:val="333333"/>
          <w:sz w:val="28"/>
        </w:rPr>
        <w:t>сии. Либо они имеют право на прекращение выплаты пенсии, которая была пр</w:t>
      </w:r>
      <w:r>
        <w:rPr>
          <w:color w:val="333333"/>
          <w:sz w:val="28"/>
        </w:rPr>
        <w:t>и</w:t>
      </w:r>
      <w:r>
        <w:rPr>
          <w:color w:val="333333"/>
          <w:sz w:val="28"/>
        </w:rPr>
        <w:t>остановлена, и назначение пенсии исходя из выслуги и общего трудового стажа на день увольнения с военной службы (</w:t>
      </w:r>
      <w:r>
        <w:rPr>
          <w:rStyle w:val="Style_5_ch"/>
          <w:color w:val="4062C4"/>
          <w:sz w:val="28"/>
        </w:rPr>
        <w:fldChar w:fldCharType="begin"/>
      </w:r>
      <w:r>
        <w:rPr>
          <w:rStyle w:val="Style_5_ch"/>
          <w:color w:val="4062C4"/>
          <w:sz w:val="28"/>
        </w:rPr>
        <w:instrText>HYPERLINK "http://publication.pravo.gov.ru/Document/View/0001202302280024?ysclid=llxlk86v9g682163665"</w:instrText>
      </w:r>
      <w:r>
        <w:rPr>
          <w:rStyle w:val="Style_5_ch"/>
          <w:color w:val="4062C4"/>
          <w:sz w:val="28"/>
        </w:rPr>
        <w:fldChar w:fldCharType="separate"/>
      </w:r>
      <w:r>
        <w:rPr>
          <w:rStyle w:val="Style_5_ch"/>
          <w:color w:val="4062C4"/>
          <w:sz w:val="28"/>
        </w:rPr>
        <w:t>Федеральный закон</w:t>
      </w:r>
      <w:r>
        <w:rPr>
          <w:rStyle w:val="Style_5_ch"/>
          <w:color w:val="4062C4"/>
          <w:sz w:val="28"/>
        </w:rPr>
        <w:fldChar w:fldCharType="end"/>
      </w:r>
      <w:r>
        <w:rPr>
          <w:color w:val="333333"/>
          <w:sz w:val="28"/>
        </w:rPr>
        <w:t> от 28.02.2023 № 50-ФЗ).</w:t>
      </w:r>
    </w:p>
    <w:p w14:paraId="4E000000">
      <w:pPr>
        <w:widowControl w:val="1"/>
        <w:spacing w:after="0" w:before="0" w:line="240" w:lineRule="auto"/>
        <w:ind w:firstLine="709"/>
        <w:jc w:val="both"/>
        <w:rPr>
          <w:rFonts w:ascii="Roboto" w:hAnsi="Roboto"/>
          <w:color w:val="333333"/>
          <w:sz w:val="28"/>
        </w:rPr>
      </w:pPr>
      <w:r>
        <w:rPr>
          <w:color w:val="333333"/>
          <w:sz w:val="28"/>
        </w:rPr>
        <w:t>Установлены дополнительные гарантии для членов семей военнослужащих. Н</w:t>
      </w:r>
      <w:r>
        <w:rPr>
          <w:color w:val="333333"/>
          <w:sz w:val="28"/>
        </w:rPr>
        <w:t>а</w:t>
      </w:r>
      <w:r>
        <w:rPr>
          <w:color w:val="333333"/>
          <w:sz w:val="28"/>
        </w:rPr>
        <w:t xml:space="preserve">пример, право на пенсию по случаю потери кормильца имеют нетрудоспособные </w:t>
      </w:r>
      <w:r>
        <w:rPr>
          <w:color w:val="333333"/>
          <w:sz w:val="28"/>
        </w:rPr>
        <w:t>члены семьи умершего военнослужащего, к которым отнесли детей, братьев, се</w:t>
      </w:r>
      <w:r>
        <w:rPr>
          <w:color w:val="333333"/>
          <w:sz w:val="28"/>
        </w:rPr>
        <w:t>с</w:t>
      </w:r>
      <w:r>
        <w:rPr>
          <w:color w:val="333333"/>
          <w:sz w:val="28"/>
        </w:rPr>
        <w:t>тер и внуков. Братья, сестры и внуки будут получать пенсию, если у них нет тр</w:t>
      </w:r>
      <w:r>
        <w:rPr>
          <w:color w:val="333333"/>
          <w:sz w:val="28"/>
        </w:rPr>
        <w:t>у</w:t>
      </w:r>
      <w:r>
        <w:rPr>
          <w:color w:val="333333"/>
          <w:sz w:val="28"/>
        </w:rPr>
        <w:t>доспособных родителей (</w:t>
      </w:r>
      <w:r>
        <w:rPr>
          <w:rStyle w:val="Style_5_ch"/>
          <w:color w:val="4062C4"/>
          <w:sz w:val="28"/>
        </w:rPr>
        <w:fldChar w:fldCharType="begin"/>
      </w:r>
      <w:r>
        <w:rPr>
          <w:rStyle w:val="Style_5_ch"/>
          <w:color w:val="4062C4"/>
          <w:sz w:val="28"/>
        </w:rPr>
        <w:instrText>HYPERLINK "http://publication.pravo.gov.ru/document/0001202305290015?ysclid=llxlqq38mu927767151"</w:instrText>
      </w:r>
      <w:r>
        <w:rPr>
          <w:rStyle w:val="Style_5_ch"/>
          <w:color w:val="4062C4"/>
          <w:sz w:val="28"/>
        </w:rPr>
        <w:fldChar w:fldCharType="separate"/>
      </w:r>
      <w:r>
        <w:rPr>
          <w:rStyle w:val="Style_5_ch"/>
          <w:color w:val="4062C4"/>
          <w:sz w:val="28"/>
        </w:rPr>
        <w:t>Федеральный закон</w:t>
      </w:r>
      <w:r>
        <w:rPr>
          <w:rStyle w:val="Style_5_ch"/>
          <w:color w:val="4062C4"/>
          <w:sz w:val="28"/>
        </w:rPr>
        <w:fldChar w:fldCharType="end"/>
      </w:r>
      <w:r>
        <w:rPr>
          <w:color w:val="333333"/>
          <w:sz w:val="28"/>
        </w:rPr>
        <w:t> от 29.05.2023 № 192-ФЗ).</w:t>
      </w:r>
    </w:p>
    <w:p w14:paraId="4F000000">
      <w:pPr>
        <w:widowControl w:val="1"/>
        <w:spacing w:after="0" w:before="0" w:line="240" w:lineRule="auto"/>
        <w:ind w:firstLine="709"/>
        <w:jc w:val="both"/>
        <w:rPr>
          <w:rFonts w:ascii="Roboto" w:hAnsi="Roboto"/>
          <w:color w:val="333333"/>
          <w:sz w:val="28"/>
        </w:rPr>
      </w:pPr>
      <w:r>
        <w:rPr>
          <w:color w:val="333333"/>
          <w:sz w:val="28"/>
        </w:rPr>
        <w:t>К работе, дающей право на досрочное пенсионное обеспечение, приравниваются периоды прохождения военной службы по контракту и в связи с мобилизацией, периоды пребывания в добровольческом формировании. При исчислении страх</w:t>
      </w:r>
      <w:r>
        <w:rPr>
          <w:color w:val="333333"/>
          <w:sz w:val="28"/>
        </w:rPr>
        <w:t>о</w:t>
      </w:r>
      <w:r>
        <w:rPr>
          <w:color w:val="333333"/>
          <w:sz w:val="28"/>
        </w:rPr>
        <w:t>вого стажа периоды участия в СВО засчитываются в двойном размере (</w:t>
      </w:r>
      <w:r>
        <w:rPr>
          <w:rStyle w:val="Style_5_ch"/>
          <w:color w:val="4062C4"/>
          <w:sz w:val="28"/>
        </w:rPr>
        <w:fldChar w:fldCharType="begin"/>
      </w:r>
      <w:r>
        <w:rPr>
          <w:rStyle w:val="Style_5_ch"/>
          <w:color w:val="4062C4"/>
          <w:sz w:val="28"/>
        </w:rPr>
        <w:instrText>HYPERLINK "http://publication.pravo.gov.ru/Document/View/0001202211220036?ysclid=llxmc9b58b178170931"</w:instrText>
      </w:r>
      <w:r>
        <w:rPr>
          <w:rStyle w:val="Style_5_ch"/>
          <w:color w:val="4062C4"/>
          <w:sz w:val="28"/>
        </w:rPr>
        <w:fldChar w:fldCharType="separate"/>
      </w:r>
      <w:r>
        <w:rPr>
          <w:rStyle w:val="Style_5_ch"/>
          <w:color w:val="4062C4"/>
          <w:sz w:val="28"/>
        </w:rPr>
        <w:t>Постановление</w:t>
      </w:r>
      <w:r>
        <w:rPr>
          <w:rStyle w:val="Style_5_ch"/>
          <w:color w:val="4062C4"/>
          <w:sz w:val="28"/>
        </w:rPr>
        <w:fldChar w:fldCharType="end"/>
      </w:r>
      <w:r>
        <w:rPr>
          <w:color w:val="333333"/>
          <w:sz w:val="28"/>
        </w:rPr>
        <w:t> Правительства РФ от 14.11.2022 № 2055).</w:t>
      </w:r>
    </w:p>
    <w:p w14:paraId="50000000">
      <w:pPr>
        <w:widowControl w:val="1"/>
        <w:spacing w:after="0" w:before="0" w:line="240" w:lineRule="auto"/>
        <w:ind w:firstLine="709"/>
        <w:jc w:val="both"/>
        <w:rPr>
          <w:rFonts w:ascii="Roboto" w:hAnsi="Roboto"/>
          <w:color w:val="333333"/>
          <w:sz w:val="28"/>
        </w:rPr>
      </w:pPr>
      <w:r>
        <w:rPr>
          <w:color w:val="333333"/>
          <w:sz w:val="28"/>
        </w:rPr>
        <w:t>Для военнослужащих, заключивших в период СВО контракт о прохождении в</w:t>
      </w:r>
      <w:r>
        <w:rPr>
          <w:color w:val="333333"/>
          <w:sz w:val="28"/>
        </w:rPr>
        <w:t>о</w:t>
      </w:r>
      <w:r>
        <w:rPr>
          <w:color w:val="333333"/>
          <w:sz w:val="28"/>
        </w:rPr>
        <w:t>енной службы, а также для мобилизованных, ранее получавших пенсию за высл</w:t>
      </w:r>
      <w:r>
        <w:rPr>
          <w:color w:val="333333"/>
          <w:sz w:val="28"/>
        </w:rPr>
        <w:t>у</w:t>
      </w:r>
      <w:r>
        <w:rPr>
          <w:color w:val="333333"/>
          <w:sz w:val="28"/>
        </w:rPr>
        <w:t>гу лет, установлена ежемесячная компенсационная выплата. Выплата равна 100% пенсии за выслугу лет, выплачиваемой на день ее приостановления с учетом еж</w:t>
      </w:r>
      <w:r>
        <w:rPr>
          <w:color w:val="333333"/>
          <w:sz w:val="28"/>
        </w:rPr>
        <w:t>е</w:t>
      </w:r>
      <w:r>
        <w:rPr>
          <w:color w:val="333333"/>
          <w:sz w:val="28"/>
        </w:rPr>
        <w:t>месячной доплаты и индексации после приостановления. Доплачивается к дене</w:t>
      </w:r>
      <w:r>
        <w:rPr>
          <w:color w:val="333333"/>
          <w:sz w:val="28"/>
        </w:rPr>
        <w:t>ж</w:t>
      </w:r>
      <w:r>
        <w:rPr>
          <w:color w:val="333333"/>
          <w:sz w:val="28"/>
        </w:rPr>
        <w:t>ному довольствию (содержанию) (</w:t>
      </w:r>
      <w:r>
        <w:rPr>
          <w:rStyle w:val="Style_5_ch"/>
          <w:color w:val="4062C4"/>
          <w:sz w:val="28"/>
        </w:rPr>
        <w:fldChar w:fldCharType="begin"/>
      </w:r>
      <w:r>
        <w:rPr>
          <w:rStyle w:val="Style_5_ch"/>
          <w:color w:val="4062C4"/>
          <w:sz w:val="28"/>
        </w:rPr>
        <w:instrText>HYPERLINK "http://publication.pravo.gov.ru/document/0001202309110006"</w:instrText>
      </w:r>
      <w:r>
        <w:rPr>
          <w:rStyle w:val="Style_5_ch"/>
          <w:color w:val="4062C4"/>
          <w:sz w:val="28"/>
        </w:rPr>
        <w:fldChar w:fldCharType="separate"/>
      </w:r>
      <w:r>
        <w:rPr>
          <w:rStyle w:val="Style_5_ch"/>
          <w:color w:val="4062C4"/>
          <w:sz w:val="28"/>
        </w:rPr>
        <w:t>Указ</w:t>
      </w:r>
      <w:r>
        <w:rPr>
          <w:rStyle w:val="Style_5_ch"/>
          <w:color w:val="4062C4"/>
          <w:sz w:val="28"/>
        </w:rPr>
        <w:fldChar w:fldCharType="end"/>
      </w:r>
      <w:r>
        <w:rPr>
          <w:color w:val="333333"/>
          <w:sz w:val="28"/>
        </w:rPr>
        <w:t xml:space="preserve"> Президента РФ от 11 сентября 2023 </w:t>
      </w:r>
      <w:r>
        <w:rPr>
          <w:color w:val="333333"/>
          <w:sz w:val="28"/>
        </w:rPr>
        <w:t>г.№</w:t>
      </w:r>
      <w:r>
        <w:rPr>
          <w:color w:val="333333"/>
          <w:sz w:val="28"/>
        </w:rPr>
        <w:t xml:space="preserve"> 669).</w:t>
      </w:r>
    </w:p>
    <w:sectPr>
      <w:headerReference r:id="rId1" w:type="default"/>
      <w:headerReference r:id="rId2" w:type="even"/>
      <w:pgSz w:h="16838" w:orient="portrait" w:w="11906"/>
      <w:pgMar w:bottom="1134" w:footer="709" w:gutter="0" w:header="709" w:left="1418" w:right="567" w:top="1135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3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4"/>
    </w:rPr>
  </w:style>
  <w:style w:default="1" w:styleId="Style_6_ch" w:type="character">
    <w:name w:val="Normal"/>
    <w:link w:val="Style_6"/>
    <w:rPr>
      <w:rFonts w:ascii="Times New Roman" w:hAnsi="Times New Roman"/>
      <w:sz w:val="24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Неразрешенное упоминание1"/>
    <w:basedOn w:val="Style_7"/>
    <w:link w:val="Style_8_ch"/>
    <w:rPr>
      <w:color w:val="605E5C"/>
      <w:shd w:fill="E1DFDD" w:val="clear"/>
    </w:rPr>
  </w:style>
  <w:style w:styleId="Style_8_ch" w:type="character">
    <w:name w:val="Неразрешенное упоминание1"/>
    <w:basedOn w:val="Style_7_ch"/>
    <w:link w:val="Style_8"/>
    <w:rPr>
      <w:color w:val="605E5C"/>
      <w:shd w:fill="E1DFDD" w:val="clear"/>
    </w:rPr>
  </w:style>
  <w:style w:styleId="Style_9" w:type="paragraph">
    <w:name w:val="toc 2"/>
    <w:next w:val="Style_6"/>
    <w:link w:val="Style_9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6"/>
    <w:link w:val="Style_10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6"/>
    <w:link w:val="Style_11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4" w:type="paragraph">
    <w:name w:val="Strong"/>
    <w:basedOn w:val="Style_7"/>
    <w:link w:val="Style_4_ch"/>
    <w:rPr>
      <w:b w:val="1"/>
    </w:rPr>
  </w:style>
  <w:style w:styleId="Style_4_ch" w:type="character">
    <w:name w:val="Strong"/>
    <w:basedOn w:val="Style_7_ch"/>
    <w:link w:val="Style_4"/>
    <w:rPr>
      <w:b w:val="1"/>
    </w:rPr>
  </w:style>
  <w:style w:styleId="Style_12" w:type="paragraph">
    <w:name w:val="toc 7"/>
    <w:next w:val="Style_6"/>
    <w:link w:val="Style_12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6"/>
    <w:link w:val="Style_14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toc 3"/>
    <w:next w:val="Style_6"/>
    <w:link w:val="Style_15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uv3um"/>
    <w:basedOn w:val="Style_7"/>
    <w:link w:val="Style_16_ch"/>
  </w:style>
  <w:style w:styleId="Style_16_ch" w:type="character">
    <w:name w:val="uv3um"/>
    <w:basedOn w:val="Style_7_ch"/>
    <w:link w:val="Style_16"/>
  </w:style>
  <w:style w:styleId="Style_17" w:type="paragraph">
    <w:name w:val="ConsPlusNormal"/>
    <w:link w:val="Style_17_ch"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styleId="Style_17_ch" w:type="character">
    <w:name w:val="ConsPlusNormal"/>
    <w:link w:val="Style_17"/>
    <w:rPr>
      <w:rFonts w:ascii="Times New Roman" w:hAnsi="Times New Roman"/>
      <w:sz w:val="28"/>
    </w:rPr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6_ch"/>
    <w:link w:val="Style_1"/>
  </w:style>
  <w:style w:styleId="Style_18" w:type="paragraph">
    <w:name w:val="Body Text"/>
    <w:basedOn w:val="Style_6"/>
    <w:link w:val="Style_18_ch"/>
    <w:pPr>
      <w:widowControl w:val="1"/>
      <w:ind/>
      <w:jc w:val="both"/>
    </w:pPr>
  </w:style>
  <w:style w:styleId="Style_18_ch" w:type="character">
    <w:name w:val="Body Text"/>
    <w:basedOn w:val="Style_6_ch"/>
    <w:link w:val="Style_18"/>
  </w:style>
  <w:style w:styleId="Style_19" w:type="paragraph">
    <w:name w:val="heading 5"/>
    <w:next w:val="Style_6"/>
    <w:link w:val="Style_1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3" w:type="paragraph">
    <w:name w:val="Normal (Web)"/>
    <w:basedOn w:val="Style_6"/>
    <w:link w:val="Style_3_ch"/>
    <w:pPr>
      <w:widowControl w:val="1"/>
      <w:spacing w:afterAutospacing="on" w:beforeAutospacing="on"/>
      <w:ind/>
    </w:pPr>
  </w:style>
  <w:style w:styleId="Style_3_ch" w:type="character">
    <w:name w:val="Normal (Web)"/>
    <w:basedOn w:val="Style_6_ch"/>
    <w:link w:val="Style_3"/>
  </w:style>
  <w:style w:styleId="Style_20" w:type="paragraph">
    <w:name w:val="heading 1"/>
    <w:basedOn w:val="Style_6"/>
    <w:next w:val="Style_6"/>
    <w:link w:val="Style_20_ch"/>
    <w:uiPriority w:val="9"/>
    <w:qFormat/>
    <w:pPr>
      <w:keepNext w:val="1"/>
      <w:keepLines w:val="1"/>
      <w:widowControl w:val="1"/>
      <w:spacing w:before="480"/>
      <w:ind/>
      <w:outlineLvl w:val="0"/>
    </w:pPr>
    <w:rPr>
      <w:rFonts w:asciiTheme="majorAscii" w:hAnsiTheme="majorHAnsi"/>
      <w:b w:val="1"/>
      <w:color w:themeColor="accent1" w:themeShade="BF" w:val="376092"/>
      <w:sz w:val="28"/>
    </w:rPr>
  </w:style>
  <w:style w:styleId="Style_20_ch" w:type="character">
    <w:name w:val="heading 1"/>
    <w:basedOn w:val="Style_6_ch"/>
    <w:link w:val="Style_20"/>
    <w:rPr>
      <w:rFonts w:asciiTheme="majorAscii" w:hAnsiTheme="majorHAnsi"/>
      <w:b w:val="1"/>
      <w:color w:themeColor="accent1" w:themeShade="BF" w:val="376092"/>
      <w:sz w:val="28"/>
    </w:rPr>
  </w:style>
  <w:style w:styleId="Style_21" w:type="paragraph">
    <w:name w:val="feeds-page__navigation_icon"/>
    <w:basedOn w:val="Style_7"/>
    <w:link w:val="Style_21_ch"/>
  </w:style>
  <w:style w:styleId="Style_21_ch" w:type="character">
    <w:name w:val="feeds-page__navigation_icon"/>
    <w:basedOn w:val="Style_7_ch"/>
    <w:link w:val="Style_21"/>
  </w:style>
  <w:style w:styleId="Style_5" w:type="paragraph">
    <w:name w:val="Hyperlink"/>
    <w:basedOn w:val="Style_7"/>
    <w:link w:val="Style_5_ch"/>
    <w:rPr>
      <w:color w:themeColor="hyperlink" w:val="0000FF"/>
      <w:u w:val="single"/>
    </w:rPr>
  </w:style>
  <w:style w:styleId="Style_5_ch" w:type="character">
    <w:name w:val="Hyperlink"/>
    <w:basedOn w:val="Style_7_ch"/>
    <w:link w:val="Style_5"/>
    <w:rPr>
      <w:color w:themeColor="hyperlink" w:val="0000FF"/>
      <w:u w:val="single"/>
    </w:rPr>
  </w:style>
  <w:style w:styleId="Style_22" w:type="paragraph">
    <w:name w:val="Footnote"/>
    <w:link w:val="Style_2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6"/>
    <w:link w:val="Style_2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toc 9"/>
    <w:next w:val="Style_6"/>
    <w:link w:val="Style_2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No Spacing"/>
    <w:link w:val="Style_26_ch"/>
    <w:pPr>
      <w:widowControl w:val="1"/>
      <w:spacing w:after="0" w:line="240" w:lineRule="auto"/>
      <w:ind/>
    </w:pPr>
    <w:rPr>
      <w:rFonts w:ascii="Times New Roman" w:hAnsi="Times New Roman"/>
      <w:sz w:val="20"/>
    </w:rPr>
  </w:style>
  <w:style w:styleId="Style_26_ch" w:type="character">
    <w:name w:val="No Spacing"/>
    <w:link w:val="Style_26"/>
    <w:rPr>
      <w:rFonts w:ascii="Times New Roman" w:hAnsi="Times New Roman"/>
      <w:sz w:val="20"/>
    </w:rPr>
  </w:style>
  <w:style w:styleId="Style_27" w:type="paragraph">
    <w:name w:val="ConsNonformat"/>
    <w:link w:val="Style_27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7_ch" w:type="character">
    <w:name w:val="ConsNonformat"/>
    <w:link w:val="Style_27"/>
    <w:rPr>
      <w:rFonts w:ascii="Courier New" w:hAnsi="Courier New"/>
      <w:sz w:val="20"/>
    </w:rPr>
  </w:style>
  <w:style w:styleId="Style_28" w:type="paragraph">
    <w:name w:val="toc 8"/>
    <w:next w:val="Style_6"/>
    <w:link w:val="Style_2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copy"/>
    <w:basedOn w:val="Style_7"/>
    <w:link w:val="Style_29_ch"/>
  </w:style>
  <w:style w:styleId="Style_29_ch" w:type="character">
    <w:name w:val="copy"/>
    <w:basedOn w:val="Style_7_ch"/>
    <w:link w:val="Style_29"/>
  </w:style>
  <w:style w:styleId="Style_2" w:type="paragraph">
    <w:name w:val="page number"/>
    <w:basedOn w:val="Style_7"/>
    <w:link w:val="Style_2_ch"/>
  </w:style>
  <w:style w:styleId="Style_2_ch" w:type="character">
    <w:name w:val="page number"/>
    <w:basedOn w:val="Style_7_ch"/>
    <w:link w:val="Style_2"/>
  </w:style>
  <w:style w:styleId="Style_30" w:type="paragraph">
    <w:name w:val="toc 5"/>
    <w:next w:val="Style_6"/>
    <w:link w:val="Style_30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1" w:type="paragraph">
    <w:name w:val="List Paragraph"/>
    <w:basedOn w:val="Style_6"/>
    <w:link w:val="Style_31_ch"/>
    <w:pPr>
      <w:widowControl w:val="1"/>
      <w:ind w:left="720"/>
      <w:contextualSpacing w:val="1"/>
    </w:pPr>
  </w:style>
  <w:style w:styleId="Style_31_ch" w:type="character">
    <w:name w:val="List Paragraph"/>
    <w:basedOn w:val="Style_6_ch"/>
    <w:link w:val="Style_31"/>
  </w:style>
  <w:style w:styleId="Style_32" w:type="paragraph">
    <w:name w:val="Balloon Text"/>
    <w:basedOn w:val="Style_6"/>
    <w:link w:val="Style_32_ch"/>
    <w:rPr>
      <w:rFonts w:ascii="Segoe UI" w:hAnsi="Segoe UI"/>
      <w:sz w:val="18"/>
    </w:rPr>
  </w:style>
  <w:style w:styleId="Style_32_ch" w:type="character">
    <w:name w:val="Balloon Text"/>
    <w:basedOn w:val="Style_6_ch"/>
    <w:link w:val="Style_32"/>
    <w:rPr>
      <w:rFonts w:ascii="Segoe UI" w:hAnsi="Segoe UI"/>
      <w:sz w:val="18"/>
    </w:rPr>
  </w:style>
  <w:style w:styleId="Style_33" w:type="paragraph">
    <w:name w:val="Subtitle"/>
    <w:next w:val="Style_6"/>
    <w:link w:val="Style_33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feeds-page__navigation_tooltip"/>
    <w:basedOn w:val="Style_7"/>
    <w:link w:val="Style_34_ch"/>
  </w:style>
  <w:style w:styleId="Style_34_ch" w:type="character">
    <w:name w:val="feeds-page__navigation_tooltip"/>
    <w:basedOn w:val="Style_7_ch"/>
    <w:link w:val="Style_34"/>
  </w:style>
  <w:style w:styleId="Style_35" w:type="paragraph">
    <w:name w:val="Title"/>
    <w:next w:val="Style_6"/>
    <w:link w:val="Style_3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36" w:type="paragraph">
    <w:name w:val="heading 4"/>
    <w:next w:val="Style_6"/>
    <w:link w:val="Style_3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6_ch" w:type="character">
    <w:name w:val="heading 4"/>
    <w:link w:val="Style_36"/>
    <w:rPr>
      <w:rFonts w:ascii="XO Thames" w:hAnsi="XO Thames"/>
      <w:b w:val="1"/>
      <w:sz w:val="24"/>
    </w:rPr>
  </w:style>
  <w:style w:styleId="Style_37" w:type="paragraph">
    <w:name w:val="doc-roll__button-text"/>
    <w:basedOn w:val="Style_7"/>
    <w:link w:val="Style_37_ch"/>
  </w:style>
  <w:style w:styleId="Style_37_ch" w:type="character">
    <w:name w:val="doc-roll__button-text"/>
    <w:basedOn w:val="Style_7_ch"/>
    <w:link w:val="Style_37"/>
  </w:style>
  <w:style w:styleId="Style_38" w:type="paragraph">
    <w:name w:val="heading 2"/>
    <w:basedOn w:val="Style_6"/>
    <w:link w:val="Style_38_ch"/>
    <w:uiPriority w:val="9"/>
    <w:qFormat/>
    <w:pPr>
      <w:widowControl w:val="1"/>
      <w:spacing w:afterAutospacing="on" w:beforeAutospacing="on"/>
      <w:ind/>
      <w:outlineLvl w:val="1"/>
    </w:pPr>
    <w:rPr>
      <w:b w:val="1"/>
      <w:sz w:val="36"/>
    </w:rPr>
  </w:style>
  <w:style w:styleId="Style_38_ch" w:type="character">
    <w:name w:val="heading 2"/>
    <w:basedOn w:val="Style_6_ch"/>
    <w:link w:val="Style_38"/>
    <w:rPr>
      <w:b w:val="1"/>
      <w:sz w:val="36"/>
    </w:rPr>
  </w:style>
  <w:style w:styleId="Style_39" w:type="paragraph">
    <w:name w:val="no-indent"/>
    <w:basedOn w:val="Style_6"/>
    <w:link w:val="Style_39_ch"/>
    <w:pPr>
      <w:widowControl w:val="1"/>
      <w:spacing w:afterAutospacing="on" w:beforeAutospacing="on"/>
      <w:ind/>
    </w:pPr>
  </w:style>
  <w:style w:styleId="Style_39_ch" w:type="character">
    <w:name w:val="no-indent"/>
    <w:basedOn w:val="Style_6_ch"/>
    <w:link w:val="Style_39"/>
  </w:style>
  <w:style w:default="1" w:styleId="Style_4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2021-05-20T15:05:00Z</dcterms:created>
  <dcterms:modified xsi:type="dcterms:W3CDTF">2025-10-13T09:01:45Z</dcterms:modified>
</cp:coreProperties>
</file>